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66045506"/>
    <w:bookmarkStart w:id="1" w:name="_MON_1066045595"/>
    <w:bookmarkEnd w:id="0"/>
    <w:bookmarkEnd w:id="1"/>
    <w:p w:rsidR="00466D84" w:rsidRDefault="00466D84">
      <w:pPr>
        <w:spacing w:line="360" w:lineRule="auto"/>
        <w:jc w:val="center"/>
        <w:rPr>
          <w:rFonts w:ascii="Garamond" w:hAnsi="Garamond"/>
        </w:rPr>
      </w:pPr>
      <w:r>
        <w:rPr>
          <w:rFonts w:ascii="Garamond" w:hAnsi="Garamond"/>
        </w:rPr>
        <w:object w:dxaOrig="1426" w:dyaOrig="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38.4pt" o:ole="" fillcolor="window">
            <v:imagedata r:id="rId6" o:title=""/>
          </v:shape>
          <o:OLEObject Type="Embed" ProgID="Word.Picture.8" ShapeID="_x0000_i1025" DrawAspect="Content" ObjectID="_1456733004" r:id="rId7"/>
        </w:object>
      </w:r>
    </w:p>
    <w:p w:rsidR="00F03B6A" w:rsidRDefault="00F03B6A">
      <w:pPr>
        <w:spacing w:line="360" w:lineRule="auto"/>
        <w:jc w:val="center"/>
        <w:rPr>
          <w:rFonts w:ascii="Garamond" w:hAnsi="Garamond"/>
        </w:rPr>
      </w:pPr>
    </w:p>
    <w:p w:rsidR="00FD6EE5" w:rsidRDefault="00FD6EE5" w:rsidP="00FD6EE5">
      <w:pPr>
        <w:jc w:val="center"/>
        <w:rPr>
          <w:rFonts w:ascii="Garamond" w:hAnsi="Garamond"/>
          <w:b/>
          <w:sz w:val="36"/>
        </w:rPr>
      </w:pPr>
      <w:smartTag w:uri="urn:schemas-microsoft-com:office:smarttags" w:element="place">
        <w:smartTag w:uri="urn:schemas-microsoft-com:office:smarttags" w:element="PlaceType">
          <w:r>
            <w:rPr>
              <w:rFonts w:ascii="Garamond" w:hAnsi="Garamond"/>
              <w:b/>
              <w:sz w:val="36"/>
            </w:rPr>
            <w:t>University</w:t>
          </w:r>
        </w:smartTag>
        <w:r>
          <w:rPr>
            <w:rFonts w:ascii="Garamond" w:hAnsi="Garamond"/>
            <w:b/>
            <w:sz w:val="36"/>
          </w:rPr>
          <w:t xml:space="preserve"> of </w:t>
        </w:r>
        <w:smartTag w:uri="urn:schemas-microsoft-com:office:smarttags" w:element="PlaceName">
          <w:r>
            <w:rPr>
              <w:rFonts w:ascii="Garamond" w:hAnsi="Garamond"/>
              <w:b/>
              <w:sz w:val="36"/>
            </w:rPr>
            <w:t>Otago</w:t>
          </w:r>
        </w:smartTag>
      </w:smartTag>
    </w:p>
    <w:p w:rsidR="00FD6EE5" w:rsidRDefault="00FD6EE5" w:rsidP="00FD6EE5">
      <w:pPr>
        <w:jc w:val="center"/>
        <w:rPr>
          <w:rFonts w:ascii="Garamond" w:hAnsi="Garamond"/>
          <w:b/>
          <w:sz w:val="36"/>
        </w:rPr>
      </w:pPr>
    </w:p>
    <w:p w:rsidR="00FD6EE5" w:rsidRDefault="00C03E62" w:rsidP="00FD6EE5">
      <w:pPr>
        <w:jc w:val="center"/>
        <w:rPr>
          <w:rFonts w:ascii="Garamond" w:hAnsi="Garamond"/>
          <w:b/>
          <w:sz w:val="36"/>
        </w:rPr>
      </w:pPr>
      <w:r>
        <w:rPr>
          <w:rFonts w:ascii="Garamond" w:hAnsi="Garamond"/>
          <w:b/>
          <w:sz w:val="36"/>
        </w:rPr>
        <w:t>[</w:t>
      </w:r>
      <w:r w:rsidRPr="00C03E62">
        <w:rPr>
          <w:rFonts w:ascii="Garamond" w:hAnsi="Garamond"/>
          <w:b/>
          <w:sz w:val="36"/>
          <w:highlight w:val="yellow"/>
        </w:rPr>
        <w:t>Insert Department Name here]</w:t>
      </w:r>
    </w:p>
    <w:p w:rsidR="00FD6EE5" w:rsidRDefault="00FD6EE5" w:rsidP="00FD6EE5">
      <w:pPr>
        <w:jc w:val="center"/>
        <w:rPr>
          <w:rFonts w:ascii="Garamond" w:hAnsi="Garamond"/>
          <w:b/>
          <w:sz w:val="36"/>
        </w:rPr>
      </w:pPr>
    </w:p>
    <w:p w:rsidR="00FD6EE5" w:rsidRDefault="00FD6EE5" w:rsidP="00FD6EE5">
      <w:pPr>
        <w:jc w:val="center"/>
        <w:rPr>
          <w:rFonts w:ascii="Garamond" w:hAnsi="Garamond"/>
          <w:b/>
          <w:sz w:val="36"/>
        </w:rPr>
      </w:pPr>
      <w:r>
        <w:rPr>
          <w:rFonts w:ascii="Garamond" w:hAnsi="Garamond"/>
          <w:b/>
          <w:sz w:val="36"/>
        </w:rPr>
        <w:t>Radiation Safety Plan</w:t>
      </w:r>
    </w:p>
    <w:p w:rsidR="00FD6EE5" w:rsidRDefault="00FD6EE5" w:rsidP="00FD6EE5">
      <w:pPr>
        <w:jc w:val="center"/>
        <w:rPr>
          <w:rFonts w:ascii="Garamond" w:hAnsi="Garamond"/>
          <w:b/>
          <w:sz w:val="36"/>
        </w:rPr>
      </w:pPr>
    </w:p>
    <w:p w:rsidR="00FD6EE5" w:rsidRDefault="00FD6EE5" w:rsidP="00FD6EE5">
      <w:pPr>
        <w:jc w:val="center"/>
        <w:rPr>
          <w:rFonts w:ascii="Garamond" w:hAnsi="Garamond"/>
          <w:b/>
          <w:sz w:val="36"/>
        </w:rPr>
      </w:pPr>
      <w:r>
        <w:rPr>
          <w:rFonts w:ascii="Garamond" w:hAnsi="Garamond"/>
          <w:b/>
          <w:sz w:val="36"/>
        </w:rPr>
        <w:t>Date:</w:t>
      </w:r>
    </w:p>
    <w:p w:rsidR="00F03B6A" w:rsidRDefault="00F03B6A">
      <w:pPr>
        <w:spacing w:line="360" w:lineRule="auto"/>
        <w:jc w:val="center"/>
        <w:rPr>
          <w:rFonts w:ascii="Garamond" w:hAnsi="Garamond"/>
        </w:rPr>
      </w:pPr>
    </w:p>
    <w:p w:rsidR="00F03B6A" w:rsidRDefault="00F03B6A">
      <w:pPr>
        <w:spacing w:line="360" w:lineRule="auto"/>
        <w:jc w:val="center"/>
        <w:rPr>
          <w:rFonts w:ascii="Garamond" w:hAnsi="Garamond"/>
        </w:rPr>
      </w:pPr>
    </w:p>
    <w:p w:rsidR="00C03E62" w:rsidRDefault="00FD6EE5">
      <w:pPr>
        <w:spacing w:line="360" w:lineRule="auto"/>
        <w:jc w:val="center"/>
        <w:rPr>
          <w:noProof/>
        </w:rPr>
      </w:pPr>
      <w:r>
        <w:rPr>
          <w:rFonts w:ascii="Garamond" w:hAnsi="Garamond"/>
        </w:rPr>
        <w:br w:type="page"/>
      </w:r>
      <w:r w:rsidR="004A21BD">
        <w:rPr>
          <w:rFonts w:ascii="Garamond" w:hAnsi="Garamond"/>
        </w:rPr>
        <w:fldChar w:fldCharType="begin"/>
      </w:r>
      <w:r w:rsidR="004A21BD">
        <w:rPr>
          <w:rFonts w:ascii="Garamond" w:hAnsi="Garamond"/>
        </w:rPr>
        <w:instrText xml:space="preserve"> TOC \o "1-3" \h \z \u </w:instrText>
      </w:r>
      <w:r w:rsidR="004A21BD">
        <w:rPr>
          <w:rFonts w:ascii="Garamond" w:hAnsi="Garamond"/>
        </w:rPr>
        <w:fldChar w:fldCharType="separate"/>
      </w:r>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78" w:history="1">
        <w:r w:rsidRPr="00781A98">
          <w:rPr>
            <w:rStyle w:val="Hyperlink"/>
            <w:noProof/>
          </w:rPr>
          <w:t>1. Radiation Hazards and Controls</w:t>
        </w:r>
        <w:r>
          <w:rPr>
            <w:noProof/>
            <w:webHidden/>
          </w:rPr>
          <w:tab/>
        </w:r>
        <w:r>
          <w:rPr>
            <w:noProof/>
            <w:webHidden/>
          </w:rPr>
          <w:fldChar w:fldCharType="begin"/>
        </w:r>
        <w:r>
          <w:rPr>
            <w:noProof/>
            <w:webHidden/>
          </w:rPr>
          <w:instrText xml:space="preserve"> PAGEREF _Toc382991078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79" w:history="1">
        <w:r w:rsidRPr="00781A98">
          <w:rPr>
            <w:rStyle w:val="Hyperlink"/>
            <w:noProof/>
          </w:rPr>
          <w:t>1.1 Introduction</w:t>
        </w:r>
        <w:r>
          <w:rPr>
            <w:noProof/>
            <w:webHidden/>
          </w:rPr>
          <w:tab/>
        </w:r>
        <w:r>
          <w:rPr>
            <w:noProof/>
            <w:webHidden/>
          </w:rPr>
          <w:fldChar w:fldCharType="begin"/>
        </w:r>
        <w:r>
          <w:rPr>
            <w:noProof/>
            <w:webHidden/>
          </w:rPr>
          <w:instrText xml:space="preserve"> PAGEREF _Toc382991079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0" w:history="1">
        <w:r w:rsidRPr="00781A98">
          <w:rPr>
            <w:rStyle w:val="Hyperlink"/>
            <w:noProof/>
          </w:rPr>
          <w:t>1.2 Uses of Ionising Radiation in the [insert department name here]</w:t>
        </w:r>
        <w:r>
          <w:rPr>
            <w:noProof/>
            <w:webHidden/>
          </w:rPr>
          <w:tab/>
        </w:r>
        <w:r>
          <w:rPr>
            <w:noProof/>
            <w:webHidden/>
          </w:rPr>
          <w:fldChar w:fldCharType="begin"/>
        </w:r>
        <w:r>
          <w:rPr>
            <w:noProof/>
            <w:webHidden/>
          </w:rPr>
          <w:instrText xml:space="preserve"> PAGEREF _Toc382991080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1" w:history="1">
        <w:r w:rsidRPr="00781A98">
          <w:rPr>
            <w:rStyle w:val="Hyperlink"/>
            <w:noProof/>
          </w:rPr>
          <w:t>1.3 Licences</w:t>
        </w:r>
        <w:r>
          <w:rPr>
            <w:noProof/>
            <w:webHidden/>
          </w:rPr>
          <w:tab/>
        </w:r>
        <w:r>
          <w:rPr>
            <w:noProof/>
            <w:webHidden/>
          </w:rPr>
          <w:fldChar w:fldCharType="begin"/>
        </w:r>
        <w:r>
          <w:rPr>
            <w:noProof/>
            <w:webHidden/>
          </w:rPr>
          <w:instrText xml:space="preserve"> PAGEREF _Toc382991081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82" w:history="1">
        <w:r w:rsidRPr="00781A98">
          <w:rPr>
            <w:rStyle w:val="Hyperlink"/>
            <w:noProof/>
          </w:rPr>
          <w:t>2. Radiation Protection Principles</w:t>
        </w:r>
        <w:r>
          <w:rPr>
            <w:noProof/>
            <w:webHidden/>
          </w:rPr>
          <w:tab/>
        </w:r>
        <w:r>
          <w:rPr>
            <w:noProof/>
            <w:webHidden/>
          </w:rPr>
          <w:fldChar w:fldCharType="begin"/>
        </w:r>
        <w:r>
          <w:rPr>
            <w:noProof/>
            <w:webHidden/>
          </w:rPr>
          <w:instrText xml:space="preserve"> PAGEREF _Toc382991082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3" w:history="1">
        <w:r w:rsidRPr="00781A98">
          <w:rPr>
            <w:rStyle w:val="Hyperlink"/>
            <w:noProof/>
          </w:rPr>
          <w:t>2.1 Basic Principles</w:t>
        </w:r>
        <w:r>
          <w:rPr>
            <w:noProof/>
            <w:webHidden/>
          </w:rPr>
          <w:tab/>
        </w:r>
        <w:r>
          <w:rPr>
            <w:noProof/>
            <w:webHidden/>
          </w:rPr>
          <w:fldChar w:fldCharType="begin"/>
        </w:r>
        <w:r>
          <w:rPr>
            <w:noProof/>
            <w:webHidden/>
          </w:rPr>
          <w:instrText xml:space="preserve"> PAGEREF _Toc382991083 \h </w:instrText>
        </w:r>
        <w:r>
          <w:rPr>
            <w:noProof/>
            <w:webHidden/>
          </w:rPr>
        </w:r>
        <w:r>
          <w:rPr>
            <w:noProof/>
            <w:webHidden/>
          </w:rPr>
          <w:fldChar w:fldCharType="separate"/>
        </w:r>
        <w:r>
          <w:rPr>
            <w:noProof/>
            <w:webHidden/>
          </w:rPr>
          <w:t>4</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84" w:history="1">
        <w:r w:rsidRPr="00781A98">
          <w:rPr>
            <w:rStyle w:val="Hyperlink"/>
            <w:noProof/>
          </w:rPr>
          <w:t>3. Radiation Hazard Control</w:t>
        </w:r>
        <w:r>
          <w:rPr>
            <w:noProof/>
            <w:webHidden/>
          </w:rPr>
          <w:tab/>
        </w:r>
        <w:r>
          <w:rPr>
            <w:noProof/>
            <w:webHidden/>
          </w:rPr>
          <w:fldChar w:fldCharType="begin"/>
        </w:r>
        <w:r>
          <w:rPr>
            <w:noProof/>
            <w:webHidden/>
          </w:rPr>
          <w:instrText xml:space="preserve"> PAGEREF _Toc382991084 \h </w:instrText>
        </w:r>
        <w:r>
          <w:rPr>
            <w:noProof/>
            <w:webHidden/>
          </w:rPr>
        </w:r>
        <w:r>
          <w:rPr>
            <w:noProof/>
            <w:webHidden/>
          </w:rPr>
          <w:fldChar w:fldCharType="separate"/>
        </w:r>
        <w:r>
          <w:rPr>
            <w:noProof/>
            <w:webHidden/>
          </w:rPr>
          <w:t>5</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5" w:history="1">
        <w:r w:rsidRPr="00781A98">
          <w:rPr>
            <w:rStyle w:val="Hyperlink"/>
            <w:noProof/>
          </w:rPr>
          <w:t>3.1 External Radiation Hazards</w:t>
        </w:r>
        <w:r>
          <w:rPr>
            <w:noProof/>
            <w:webHidden/>
          </w:rPr>
          <w:tab/>
        </w:r>
        <w:r>
          <w:rPr>
            <w:noProof/>
            <w:webHidden/>
          </w:rPr>
          <w:fldChar w:fldCharType="begin"/>
        </w:r>
        <w:r>
          <w:rPr>
            <w:noProof/>
            <w:webHidden/>
          </w:rPr>
          <w:instrText xml:space="preserve"> PAGEREF _Toc382991085 \h </w:instrText>
        </w:r>
        <w:r>
          <w:rPr>
            <w:noProof/>
            <w:webHidden/>
          </w:rPr>
        </w:r>
        <w:r>
          <w:rPr>
            <w:noProof/>
            <w:webHidden/>
          </w:rPr>
          <w:fldChar w:fldCharType="separate"/>
        </w:r>
        <w:r>
          <w:rPr>
            <w:noProof/>
            <w:webHidden/>
          </w:rPr>
          <w:t>5</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6" w:history="1">
        <w:r w:rsidRPr="00781A98">
          <w:rPr>
            <w:rStyle w:val="Hyperlink"/>
            <w:noProof/>
          </w:rPr>
          <w:t>3.2 Internal Radiation Hazards</w:t>
        </w:r>
        <w:r>
          <w:rPr>
            <w:noProof/>
            <w:webHidden/>
          </w:rPr>
          <w:tab/>
        </w:r>
        <w:r>
          <w:rPr>
            <w:noProof/>
            <w:webHidden/>
          </w:rPr>
          <w:fldChar w:fldCharType="begin"/>
        </w:r>
        <w:r>
          <w:rPr>
            <w:noProof/>
            <w:webHidden/>
          </w:rPr>
          <w:instrText xml:space="preserve"> PAGEREF _Toc382991086 \h </w:instrText>
        </w:r>
        <w:r>
          <w:rPr>
            <w:noProof/>
            <w:webHidden/>
          </w:rPr>
        </w:r>
        <w:r>
          <w:rPr>
            <w:noProof/>
            <w:webHidden/>
          </w:rPr>
          <w:fldChar w:fldCharType="separate"/>
        </w:r>
        <w:r>
          <w:rPr>
            <w:noProof/>
            <w:webHidden/>
          </w:rPr>
          <w:t>6</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7" w:history="1">
        <w:r w:rsidRPr="00781A98">
          <w:rPr>
            <w:rStyle w:val="Hyperlink"/>
            <w:noProof/>
          </w:rPr>
          <w:t>3.4 Controlled Areas and Restricted Areas</w:t>
        </w:r>
        <w:r>
          <w:rPr>
            <w:noProof/>
            <w:webHidden/>
          </w:rPr>
          <w:tab/>
        </w:r>
        <w:r>
          <w:rPr>
            <w:noProof/>
            <w:webHidden/>
          </w:rPr>
          <w:fldChar w:fldCharType="begin"/>
        </w:r>
        <w:r>
          <w:rPr>
            <w:noProof/>
            <w:webHidden/>
          </w:rPr>
          <w:instrText xml:space="preserve"> PAGEREF _Toc382991087 \h </w:instrText>
        </w:r>
        <w:r>
          <w:rPr>
            <w:noProof/>
            <w:webHidden/>
          </w:rPr>
        </w:r>
        <w:r>
          <w:rPr>
            <w:noProof/>
            <w:webHidden/>
          </w:rPr>
          <w:fldChar w:fldCharType="separate"/>
        </w:r>
        <w:r>
          <w:rPr>
            <w:noProof/>
            <w:webHidden/>
          </w:rPr>
          <w:t>6</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88" w:history="1">
        <w:r w:rsidRPr="00781A98">
          <w:rPr>
            <w:rStyle w:val="Hyperlink"/>
            <w:noProof/>
          </w:rPr>
          <w:t>4. Approved Users</w:t>
        </w:r>
        <w:r>
          <w:rPr>
            <w:noProof/>
            <w:webHidden/>
          </w:rPr>
          <w:tab/>
        </w:r>
        <w:r>
          <w:rPr>
            <w:noProof/>
            <w:webHidden/>
          </w:rPr>
          <w:fldChar w:fldCharType="begin"/>
        </w:r>
        <w:r>
          <w:rPr>
            <w:noProof/>
            <w:webHidden/>
          </w:rPr>
          <w:instrText xml:space="preserve"> PAGEREF _Toc382991088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89" w:history="1">
        <w:r w:rsidRPr="00781A98">
          <w:rPr>
            <w:rStyle w:val="Hyperlink"/>
            <w:noProof/>
          </w:rPr>
          <w:t>4.1 Register</w:t>
        </w:r>
        <w:r>
          <w:rPr>
            <w:noProof/>
            <w:webHidden/>
          </w:rPr>
          <w:tab/>
        </w:r>
        <w:r>
          <w:rPr>
            <w:noProof/>
            <w:webHidden/>
          </w:rPr>
          <w:fldChar w:fldCharType="begin"/>
        </w:r>
        <w:r>
          <w:rPr>
            <w:noProof/>
            <w:webHidden/>
          </w:rPr>
          <w:instrText xml:space="preserve"> PAGEREF _Toc382991089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0" w:history="1">
        <w:r w:rsidRPr="00781A98">
          <w:rPr>
            <w:rStyle w:val="Hyperlink"/>
            <w:noProof/>
          </w:rPr>
          <w:t>4.2 Key Holders</w:t>
        </w:r>
        <w:r>
          <w:rPr>
            <w:noProof/>
            <w:webHidden/>
          </w:rPr>
          <w:tab/>
        </w:r>
        <w:r>
          <w:rPr>
            <w:noProof/>
            <w:webHidden/>
          </w:rPr>
          <w:fldChar w:fldCharType="begin"/>
        </w:r>
        <w:r>
          <w:rPr>
            <w:noProof/>
            <w:webHidden/>
          </w:rPr>
          <w:instrText xml:space="preserve"> PAGEREF _Toc382991090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91" w:history="1">
        <w:r w:rsidRPr="00781A98">
          <w:rPr>
            <w:rStyle w:val="Hyperlink"/>
            <w:noProof/>
          </w:rPr>
          <w:t>5. Records and reports</w:t>
        </w:r>
        <w:r>
          <w:rPr>
            <w:noProof/>
            <w:webHidden/>
          </w:rPr>
          <w:tab/>
        </w:r>
        <w:r>
          <w:rPr>
            <w:noProof/>
            <w:webHidden/>
          </w:rPr>
          <w:fldChar w:fldCharType="begin"/>
        </w:r>
        <w:r>
          <w:rPr>
            <w:noProof/>
            <w:webHidden/>
          </w:rPr>
          <w:instrText xml:space="preserve"> PAGEREF _Toc382991091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2" w:history="1">
        <w:r w:rsidRPr="00781A98">
          <w:rPr>
            <w:rStyle w:val="Hyperlink"/>
            <w:noProof/>
          </w:rPr>
          <w:t>5.1 Records of Radioactive Materials</w:t>
        </w:r>
        <w:r>
          <w:rPr>
            <w:noProof/>
            <w:webHidden/>
          </w:rPr>
          <w:tab/>
        </w:r>
        <w:r>
          <w:rPr>
            <w:noProof/>
            <w:webHidden/>
          </w:rPr>
          <w:fldChar w:fldCharType="begin"/>
        </w:r>
        <w:r>
          <w:rPr>
            <w:noProof/>
            <w:webHidden/>
          </w:rPr>
          <w:instrText xml:space="preserve"> PAGEREF _Toc382991092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3" w:history="1">
        <w:r w:rsidRPr="00781A98">
          <w:rPr>
            <w:rStyle w:val="Hyperlink"/>
            <w:noProof/>
          </w:rPr>
          <w:t>5.2 Records of Transfer of Material to Another Licensee</w:t>
        </w:r>
        <w:r>
          <w:rPr>
            <w:noProof/>
            <w:webHidden/>
          </w:rPr>
          <w:tab/>
        </w:r>
        <w:r>
          <w:rPr>
            <w:noProof/>
            <w:webHidden/>
          </w:rPr>
          <w:fldChar w:fldCharType="begin"/>
        </w:r>
        <w:r>
          <w:rPr>
            <w:noProof/>
            <w:webHidden/>
          </w:rPr>
          <w:instrText xml:space="preserve"> PAGEREF _Toc382991093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4" w:history="1">
        <w:r w:rsidRPr="00781A98">
          <w:rPr>
            <w:rStyle w:val="Hyperlink"/>
            <w:noProof/>
          </w:rPr>
          <w:t>5.3 Personal Monitoring</w:t>
        </w:r>
        <w:r>
          <w:rPr>
            <w:noProof/>
            <w:webHidden/>
          </w:rPr>
          <w:tab/>
        </w:r>
        <w:r>
          <w:rPr>
            <w:noProof/>
            <w:webHidden/>
          </w:rPr>
          <w:fldChar w:fldCharType="begin"/>
        </w:r>
        <w:r>
          <w:rPr>
            <w:noProof/>
            <w:webHidden/>
          </w:rPr>
          <w:instrText xml:space="preserve"> PAGEREF _Toc382991094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5" w:history="1">
        <w:r w:rsidRPr="00781A98">
          <w:rPr>
            <w:rStyle w:val="Hyperlink"/>
            <w:noProof/>
          </w:rPr>
          <w:t>Laboratory Exit Safety Surveys</w:t>
        </w:r>
        <w:r>
          <w:rPr>
            <w:noProof/>
            <w:webHidden/>
          </w:rPr>
          <w:tab/>
        </w:r>
        <w:r>
          <w:rPr>
            <w:noProof/>
            <w:webHidden/>
          </w:rPr>
          <w:fldChar w:fldCharType="begin"/>
        </w:r>
        <w:r>
          <w:rPr>
            <w:noProof/>
            <w:webHidden/>
          </w:rPr>
          <w:instrText xml:space="preserve"> PAGEREF _Toc382991095 \h </w:instrText>
        </w:r>
        <w:r>
          <w:rPr>
            <w:noProof/>
            <w:webHidden/>
          </w:rPr>
        </w:r>
        <w:r>
          <w:rPr>
            <w:noProof/>
            <w:webHidden/>
          </w:rPr>
          <w:fldChar w:fldCharType="separate"/>
        </w:r>
        <w:r>
          <w:rPr>
            <w:noProof/>
            <w:webHidden/>
          </w:rPr>
          <w:t>7</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096" w:history="1">
        <w:r w:rsidRPr="00781A98">
          <w:rPr>
            <w:rStyle w:val="Hyperlink"/>
            <w:noProof/>
          </w:rPr>
          <w:t>6. Storage</w:t>
        </w:r>
        <w:r>
          <w:rPr>
            <w:noProof/>
            <w:webHidden/>
          </w:rPr>
          <w:tab/>
        </w:r>
        <w:r>
          <w:rPr>
            <w:noProof/>
            <w:webHidden/>
          </w:rPr>
          <w:fldChar w:fldCharType="begin"/>
        </w:r>
        <w:r>
          <w:rPr>
            <w:noProof/>
            <w:webHidden/>
          </w:rPr>
          <w:instrText xml:space="preserve"> PAGEREF _Toc382991096 \h </w:instrText>
        </w:r>
        <w:r>
          <w:rPr>
            <w:noProof/>
            <w:webHidden/>
          </w:rPr>
        </w:r>
        <w:r>
          <w:rPr>
            <w:noProof/>
            <w:webHidden/>
          </w:rPr>
          <w:fldChar w:fldCharType="separate"/>
        </w:r>
        <w:r>
          <w:rPr>
            <w:noProof/>
            <w:webHidden/>
          </w:rPr>
          <w:t>8</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7" w:history="1">
        <w:r w:rsidRPr="00781A98">
          <w:rPr>
            <w:rStyle w:val="Hyperlink"/>
            <w:noProof/>
          </w:rPr>
          <w:t>6.1 Security</w:t>
        </w:r>
        <w:r>
          <w:rPr>
            <w:noProof/>
            <w:webHidden/>
          </w:rPr>
          <w:tab/>
        </w:r>
        <w:r>
          <w:rPr>
            <w:noProof/>
            <w:webHidden/>
          </w:rPr>
          <w:fldChar w:fldCharType="begin"/>
        </w:r>
        <w:r>
          <w:rPr>
            <w:noProof/>
            <w:webHidden/>
          </w:rPr>
          <w:instrText xml:space="preserve"> PAGEREF _Toc382991097 \h </w:instrText>
        </w:r>
        <w:r>
          <w:rPr>
            <w:noProof/>
            <w:webHidden/>
          </w:rPr>
        </w:r>
        <w:r>
          <w:rPr>
            <w:noProof/>
            <w:webHidden/>
          </w:rPr>
          <w:fldChar w:fldCharType="separate"/>
        </w:r>
        <w:r>
          <w:rPr>
            <w:noProof/>
            <w:webHidden/>
          </w:rPr>
          <w:t>8</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8" w:history="1">
        <w:r w:rsidRPr="00781A98">
          <w:rPr>
            <w:rStyle w:val="Hyperlink"/>
            <w:noProof/>
          </w:rPr>
          <w:t>6.2 Radiation Safety</w:t>
        </w:r>
        <w:r>
          <w:rPr>
            <w:noProof/>
            <w:webHidden/>
          </w:rPr>
          <w:tab/>
        </w:r>
        <w:r>
          <w:rPr>
            <w:noProof/>
            <w:webHidden/>
          </w:rPr>
          <w:fldChar w:fldCharType="begin"/>
        </w:r>
        <w:r>
          <w:rPr>
            <w:noProof/>
            <w:webHidden/>
          </w:rPr>
          <w:instrText xml:space="preserve"> PAGEREF _Toc382991098 \h </w:instrText>
        </w:r>
        <w:r>
          <w:rPr>
            <w:noProof/>
            <w:webHidden/>
          </w:rPr>
        </w:r>
        <w:r>
          <w:rPr>
            <w:noProof/>
            <w:webHidden/>
          </w:rPr>
          <w:fldChar w:fldCharType="separate"/>
        </w:r>
        <w:r>
          <w:rPr>
            <w:noProof/>
            <w:webHidden/>
          </w:rPr>
          <w:t>8</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099" w:history="1">
        <w:r w:rsidRPr="00781A98">
          <w:rPr>
            <w:rStyle w:val="Hyperlink"/>
            <w:noProof/>
          </w:rPr>
          <w:t>6.3 Signs</w:t>
        </w:r>
        <w:r>
          <w:rPr>
            <w:noProof/>
            <w:webHidden/>
          </w:rPr>
          <w:tab/>
        </w:r>
        <w:r>
          <w:rPr>
            <w:noProof/>
            <w:webHidden/>
          </w:rPr>
          <w:fldChar w:fldCharType="begin"/>
        </w:r>
        <w:r>
          <w:rPr>
            <w:noProof/>
            <w:webHidden/>
          </w:rPr>
          <w:instrText xml:space="preserve"> PAGEREF _Toc382991099 \h </w:instrText>
        </w:r>
        <w:r>
          <w:rPr>
            <w:noProof/>
            <w:webHidden/>
          </w:rPr>
        </w:r>
        <w:r>
          <w:rPr>
            <w:noProof/>
            <w:webHidden/>
          </w:rPr>
          <w:fldChar w:fldCharType="separate"/>
        </w:r>
        <w:r>
          <w:rPr>
            <w:noProof/>
            <w:webHidden/>
          </w:rPr>
          <w:t>9</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100" w:history="1">
        <w:r w:rsidRPr="00781A98">
          <w:rPr>
            <w:rStyle w:val="Hyperlink"/>
            <w:noProof/>
          </w:rPr>
          <w:t>7. Waste Disposal</w:t>
        </w:r>
        <w:r>
          <w:rPr>
            <w:noProof/>
            <w:webHidden/>
          </w:rPr>
          <w:tab/>
        </w:r>
        <w:r>
          <w:rPr>
            <w:noProof/>
            <w:webHidden/>
          </w:rPr>
          <w:fldChar w:fldCharType="begin"/>
        </w:r>
        <w:r>
          <w:rPr>
            <w:noProof/>
            <w:webHidden/>
          </w:rPr>
          <w:instrText xml:space="preserve"> PAGEREF _Toc382991100 \h </w:instrText>
        </w:r>
        <w:r>
          <w:rPr>
            <w:noProof/>
            <w:webHidden/>
          </w:rPr>
        </w:r>
        <w:r>
          <w:rPr>
            <w:noProof/>
            <w:webHidden/>
          </w:rPr>
          <w:fldChar w:fldCharType="separate"/>
        </w:r>
        <w:r>
          <w:rPr>
            <w:noProof/>
            <w:webHidden/>
          </w:rPr>
          <w:t>9</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1" w:history="1">
        <w:r w:rsidRPr="00781A98">
          <w:rPr>
            <w:rStyle w:val="Hyperlink"/>
            <w:noProof/>
          </w:rPr>
          <w:t>7.1 General Principles</w:t>
        </w:r>
        <w:r>
          <w:rPr>
            <w:noProof/>
            <w:webHidden/>
          </w:rPr>
          <w:tab/>
        </w:r>
        <w:r>
          <w:rPr>
            <w:noProof/>
            <w:webHidden/>
          </w:rPr>
          <w:fldChar w:fldCharType="begin"/>
        </w:r>
        <w:r>
          <w:rPr>
            <w:noProof/>
            <w:webHidden/>
          </w:rPr>
          <w:instrText xml:space="preserve"> PAGEREF _Toc382991101 \h </w:instrText>
        </w:r>
        <w:r>
          <w:rPr>
            <w:noProof/>
            <w:webHidden/>
          </w:rPr>
        </w:r>
        <w:r>
          <w:rPr>
            <w:noProof/>
            <w:webHidden/>
          </w:rPr>
          <w:fldChar w:fldCharType="separate"/>
        </w:r>
        <w:r>
          <w:rPr>
            <w:noProof/>
            <w:webHidden/>
          </w:rPr>
          <w:t>9</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2" w:history="1">
        <w:r w:rsidRPr="00781A98">
          <w:rPr>
            <w:rStyle w:val="Hyperlink"/>
            <w:noProof/>
          </w:rPr>
          <w:t>7.2 Solid Waste</w:t>
        </w:r>
        <w:r>
          <w:rPr>
            <w:noProof/>
            <w:webHidden/>
          </w:rPr>
          <w:tab/>
        </w:r>
        <w:r>
          <w:rPr>
            <w:noProof/>
            <w:webHidden/>
          </w:rPr>
          <w:fldChar w:fldCharType="begin"/>
        </w:r>
        <w:r>
          <w:rPr>
            <w:noProof/>
            <w:webHidden/>
          </w:rPr>
          <w:instrText xml:space="preserve"> PAGEREF _Toc382991102 \h </w:instrText>
        </w:r>
        <w:r>
          <w:rPr>
            <w:noProof/>
            <w:webHidden/>
          </w:rPr>
        </w:r>
        <w:r>
          <w:rPr>
            <w:noProof/>
            <w:webHidden/>
          </w:rPr>
          <w:fldChar w:fldCharType="separate"/>
        </w:r>
        <w:r>
          <w:rPr>
            <w:noProof/>
            <w:webHidden/>
          </w:rPr>
          <w:t>9</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3" w:history="1">
        <w:r w:rsidRPr="00781A98">
          <w:rPr>
            <w:rStyle w:val="Hyperlink"/>
            <w:noProof/>
          </w:rPr>
          <w:t>7.3 Liquid Waste</w:t>
        </w:r>
        <w:r>
          <w:rPr>
            <w:noProof/>
            <w:webHidden/>
          </w:rPr>
          <w:tab/>
        </w:r>
        <w:r>
          <w:rPr>
            <w:noProof/>
            <w:webHidden/>
          </w:rPr>
          <w:fldChar w:fldCharType="begin"/>
        </w:r>
        <w:r>
          <w:rPr>
            <w:noProof/>
            <w:webHidden/>
          </w:rPr>
          <w:instrText xml:space="preserve"> PAGEREF _Toc382991103 \h </w:instrText>
        </w:r>
        <w:r>
          <w:rPr>
            <w:noProof/>
            <w:webHidden/>
          </w:rPr>
        </w:r>
        <w:r>
          <w:rPr>
            <w:noProof/>
            <w:webHidden/>
          </w:rPr>
          <w:fldChar w:fldCharType="separate"/>
        </w:r>
        <w:r>
          <w:rPr>
            <w:noProof/>
            <w:webHidden/>
          </w:rPr>
          <w:t>10</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4" w:history="1">
        <w:r w:rsidRPr="00781A98">
          <w:rPr>
            <w:rStyle w:val="Hyperlink"/>
            <w:noProof/>
          </w:rPr>
          <w:t>7.4 Gaseous Waste</w:t>
        </w:r>
        <w:r>
          <w:rPr>
            <w:noProof/>
            <w:webHidden/>
          </w:rPr>
          <w:tab/>
        </w:r>
        <w:r>
          <w:rPr>
            <w:noProof/>
            <w:webHidden/>
          </w:rPr>
          <w:fldChar w:fldCharType="begin"/>
        </w:r>
        <w:r>
          <w:rPr>
            <w:noProof/>
            <w:webHidden/>
          </w:rPr>
          <w:instrText xml:space="preserve"> PAGEREF _Toc382991104 \h </w:instrText>
        </w:r>
        <w:r>
          <w:rPr>
            <w:noProof/>
            <w:webHidden/>
          </w:rPr>
        </w:r>
        <w:r>
          <w:rPr>
            <w:noProof/>
            <w:webHidden/>
          </w:rPr>
          <w:fldChar w:fldCharType="separate"/>
        </w:r>
        <w:r>
          <w:rPr>
            <w:noProof/>
            <w:webHidden/>
          </w:rPr>
          <w:t>10</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105" w:history="1">
        <w:r w:rsidRPr="00781A98">
          <w:rPr>
            <w:rStyle w:val="Hyperlink"/>
            <w:noProof/>
          </w:rPr>
          <w:t>8. Emergency Management</w:t>
        </w:r>
        <w:r>
          <w:rPr>
            <w:noProof/>
            <w:webHidden/>
          </w:rPr>
          <w:tab/>
        </w:r>
        <w:r>
          <w:rPr>
            <w:noProof/>
            <w:webHidden/>
          </w:rPr>
          <w:fldChar w:fldCharType="begin"/>
        </w:r>
        <w:r>
          <w:rPr>
            <w:noProof/>
            <w:webHidden/>
          </w:rPr>
          <w:instrText xml:space="preserve"> PAGEREF _Toc382991105 \h </w:instrText>
        </w:r>
        <w:r>
          <w:rPr>
            <w:noProof/>
            <w:webHidden/>
          </w:rPr>
        </w:r>
        <w:r>
          <w:rPr>
            <w:noProof/>
            <w:webHidden/>
          </w:rPr>
          <w:fldChar w:fldCharType="separate"/>
        </w:r>
        <w:r>
          <w:rPr>
            <w:noProof/>
            <w:webHidden/>
          </w:rPr>
          <w:t>10</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6" w:history="1">
        <w:r w:rsidRPr="00781A98">
          <w:rPr>
            <w:rStyle w:val="Hyperlink"/>
            <w:noProof/>
          </w:rPr>
          <w:t>8.1 Contact Details</w:t>
        </w:r>
        <w:r>
          <w:rPr>
            <w:noProof/>
            <w:webHidden/>
          </w:rPr>
          <w:tab/>
        </w:r>
        <w:r>
          <w:rPr>
            <w:noProof/>
            <w:webHidden/>
          </w:rPr>
          <w:fldChar w:fldCharType="begin"/>
        </w:r>
        <w:r>
          <w:rPr>
            <w:noProof/>
            <w:webHidden/>
          </w:rPr>
          <w:instrText xml:space="preserve"> PAGEREF _Toc382991106 \h </w:instrText>
        </w:r>
        <w:r>
          <w:rPr>
            <w:noProof/>
            <w:webHidden/>
          </w:rPr>
        </w:r>
        <w:r>
          <w:rPr>
            <w:noProof/>
            <w:webHidden/>
          </w:rPr>
          <w:fldChar w:fldCharType="separate"/>
        </w:r>
        <w:r>
          <w:rPr>
            <w:noProof/>
            <w:webHidden/>
          </w:rPr>
          <w:t>10</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7" w:history="1">
        <w:r w:rsidRPr="00781A98">
          <w:rPr>
            <w:rStyle w:val="Hyperlink"/>
            <w:noProof/>
          </w:rPr>
          <w:t>8.2 Spillage of an unsealed source</w:t>
        </w:r>
        <w:r>
          <w:rPr>
            <w:noProof/>
            <w:webHidden/>
          </w:rPr>
          <w:tab/>
        </w:r>
        <w:r>
          <w:rPr>
            <w:noProof/>
            <w:webHidden/>
          </w:rPr>
          <w:fldChar w:fldCharType="begin"/>
        </w:r>
        <w:r>
          <w:rPr>
            <w:noProof/>
            <w:webHidden/>
          </w:rPr>
          <w:instrText xml:space="preserve"> PAGEREF _Toc382991107 \h </w:instrText>
        </w:r>
        <w:r>
          <w:rPr>
            <w:noProof/>
            <w:webHidden/>
          </w:rPr>
        </w:r>
        <w:r>
          <w:rPr>
            <w:noProof/>
            <w:webHidden/>
          </w:rPr>
          <w:fldChar w:fldCharType="separate"/>
        </w:r>
        <w:r>
          <w:rPr>
            <w:noProof/>
            <w:webHidden/>
          </w:rPr>
          <w:t>10</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8" w:history="1">
        <w:r w:rsidRPr="00781A98">
          <w:rPr>
            <w:rStyle w:val="Hyperlink"/>
            <w:noProof/>
          </w:rPr>
          <w:t>8.3 Personal Decontamination</w:t>
        </w:r>
        <w:r>
          <w:rPr>
            <w:noProof/>
            <w:webHidden/>
          </w:rPr>
          <w:tab/>
        </w:r>
        <w:r>
          <w:rPr>
            <w:noProof/>
            <w:webHidden/>
          </w:rPr>
          <w:fldChar w:fldCharType="begin"/>
        </w:r>
        <w:r>
          <w:rPr>
            <w:noProof/>
            <w:webHidden/>
          </w:rPr>
          <w:instrText xml:space="preserve"> PAGEREF _Toc382991108 \h </w:instrText>
        </w:r>
        <w:r>
          <w:rPr>
            <w:noProof/>
            <w:webHidden/>
          </w:rPr>
        </w:r>
        <w:r>
          <w:rPr>
            <w:noProof/>
            <w:webHidden/>
          </w:rPr>
          <w:fldChar w:fldCharType="separate"/>
        </w:r>
        <w:r>
          <w:rPr>
            <w:noProof/>
            <w:webHidden/>
          </w:rPr>
          <w:t>11</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09" w:history="1">
        <w:r w:rsidRPr="00781A98">
          <w:rPr>
            <w:rStyle w:val="Hyperlink"/>
            <w:noProof/>
          </w:rPr>
          <w:t>8.4 Fire</w:t>
        </w:r>
        <w:r>
          <w:rPr>
            <w:noProof/>
            <w:webHidden/>
          </w:rPr>
          <w:tab/>
        </w:r>
        <w:r>
          <w:rPr>
            <w:noProof/>
            <w:webHidden/>
          </w:rPr>
          <w:fldChar w:fldCharType="begin"/>
        </w:r>
        <w:r>
          <w:rPr>
            <w:noProof/>
            <w:webHidden/>
          </w:rPr>
          <w:instrText xml:space="preserve"> PAGEREF _Toc382991109 \h </w:instrText>
        </w:r>
        <w:r>
          <w:rPr>
            <w:noProof/>
            <w:webHidden/>
          </w:rPr>
        </w:r>
        <w:r>
          <w:rPr>
            <w:noProof/>
            <w:webHidden/>
          </w:rPr>
          <w:fldChar w:fldCharType="separate"/>
        </w:r>
        <w:r>
          <w:rPr>
            <w:noProof/>
            <w:webHidden/>
          </w:rPr>
          <w:t>11</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110" w:history="1">
        <w:r w:rsidRPr="00781A98">
          <w:rPr>
            <w:rStyle w:val="Hyperlink"/>
            <w:noProof/>
          </w:rPr>
          <w:t>Appendices</w:t>
        </w:r>
        <w:r>
          <w:rPr>
            <w:noProof/>
            <w:webHidden/>
          </w:rPr>
          <w:tab/>
        </w:r>
        <w:r>
          <w:rPr>
            <w:noProof/>
            <w:webHidden/>
          </w:rPr>
          <w:fldChar w:fldCharType="begin"/>
        </w:r>
        <w:r>
          <w:rPr>
            <w:noProof/>
            <w:webHidden/>
          </w:rPr>
          <w:instrText xml:space="preserve"> PAGEREF _Toc382991110 \h </w:instrText>
        </w:r>
        <w:r>
          <w:rPr>
            <w:noProof/>
            <w:webHidden/>
          </w:rPr>
        </w:r>
        <w:r>
          <w:rPr>
            <w:noProof/>
            <w:webHidden/>
          </w:rPr>
          <w:fldChar w:fldCharType="separate"/>
        </w:r>
        <w:r>
          <w:rPr>
            <w:noProof/>
            <w:webHidden/>
          </w:rPr>
          <w:t>11</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11" w:history="1">
        <w:r w:rsidRPr="00781A98">
          <w:rPr>
            <w:rStyle w:val="Hyperlink"/>
            <w:noProof/>
          </w:rPr>
          <w:t>Appendix 1: Register of Approved Users</w:t>
        </w:r>
        <w:r>
          <w:rPr>
            <w:noProof/>
            <w:webHidden/>
          </w:rPr>
          <w:tab/>
        </w:r>
        <w:r>
          <w:rPr>
            <w:noProof/>
            <w:webHidden/>
          </w:rPr>
          <w:fldChar w:fldCharType="begin"/>
        </w:r>
        <w:r>
          <w:rPr>
            <w:noProof/>
            <w:webHidden/>
          </w:rPr>
          <w:instrText xml:space="preserve"> PAGEREF _Toc382991111 \h </w:instrText>
        </w:r>
        <w:r>
          <w:rPr>
            <w:noProof/>
            <w:webHidden/>
          </w:rPr>
        </w:r>
        <w:r>
          <w:rPr>
            <w:noProof/>
            <w:webHidden/>
          </w:rPr>
          <w:fldChar w:fldCharType="separate"/>
        </w:r>
        <w:r>
          <w:rPr>
            <w:noProof/>
            <w:webHidden/>
          </w:rPr>
          <w:t>11</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12" w:history="1">
        <w:r w:rsidRPr="00781A98">
          <w:rPr>
            <w:rStyle w:val="Hyperlink"/>
            <w:noProof/>
          </w:rPr>
          <w:t>Appendix 2: Key Holders</w:t>
        </w:r>
        <w:r>
          <w:rPr>
            <w:noProof/>
            <w:webHidden/>
          </w:rPr>
          <w:tab/>
        </w:r>
        <w:r>
          <w:rPr>
            <w:noProof/>
            <w:webHidden/>
          </w:rPr>
          <w:fldChar w:fldCharType="begin"/>
        </w:r>
        <w:r>
          <w:rPr>
            <w:noProof/>
            <w:webHidden/>
          </w:rPr>
          <w:instrText xml:space="preserve"> PAGEREF _Toc382991112 \h </w:instrText>
        </w:r>
        <w:r>
          <w:rPr>
            <w:noProof/>
            <w:webHidden/>
          </w:rPr>
        </w:r>
        <w:r>
          <w:rPr>
            <w:noProof/>
            <w:webHidden/>
          </w:rPr>
          <w:fldChar w:fldCharType="separate"/>
        </w:r>
        <w:r>
          <w:rPr>
            <w:noProof/>
            <w:webHidden/>
          </w:rPr>
          <w:t>12</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13" w:history="1">
        <w:r w:rsidRPr="00781A98">
          <w:rPr>
            <w:rStyle w:val="Hyperlink"/>
            <w:noProof/>
          </w:rPr>
          <w:t>Appendix 3: Radioactive Materials Inventory</w:t>
        </w:r>
        <w:r>
          <w:rPr>
            <w:noProof/>
            <w:webHidden/>
          </w:rPr>
          <w:tab/>
        </w:r>
        <w:r>
          <w:rPr>
            <w:noProof/>
            <w:webHidden/>
          </w:rPr>
          <w:fldChar w:fldCharType="begin"/>
        </w:r>
        <w:r>
          <w:rPr>
            <w:noProof/>
            <w:webHidden/>
          </w:rPr>
          <w:instrText xml:space="preserve"> PAGEREF _Toc382991113 \h </w:instrText>
        </w:r>
        <w:r>
          <w:rPr>
            <w:noProof/>
            <w:webHidden/>
          </w:rPr>
        </w:r>
        <w:r>
          <w:rPr>
            <w:noProof/>
            <w:webHidden/>
          </w:rPr>
          <w:fldChar w:fldCharType="separate"/>
        </w:r>
        <w:r>
          <w:rPr>
            <w:noProof/>
            <w:webHidden/>
          </w:rPr>
          <w:t>13</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14" w:history="1">
        <w:r w:rsidRPr="00781A98">
          <w:rPr>
            <w:rStyle w:val="Hyperlink"/>
            <w:noProof/>
          </w:rPr>
          <w:t>Appendix 4: Transfer of Substances</w:t>
        </w:r>
        <w:r>
          <w:rPr>
            <w:noProof/>
            <w:webHidden/>
          </w:rPr>
          <w:tab/>
        </w:r>
        <w:r>
          <w:rPr>
            <w:noProof/>
            <w:webHidden/>
          </w:rPr>
          <w:fldChar w:fldCharType="begin"/>
        </w:r>
        <w:r>
          <w:rPr>
            <w:noProof/>
            <w:webHidden/>
          </w:rPr>
          <w:instrText xml:space="preserve"> PAGEREF _Toc382991114 \h </w:instrText>
        </w:r>
        <w:r>
          <w:rPr>
            <w:noProof/>
            <w:webHidden/>
          </w:rPr>
        </w:r>
        <w:r>
          <w:rPr>
            <w:noProof/>
            <w:webHidden/>
          </w:rPr>
          <w:fldChar w:fldCharType="separate"/>
        </w:r>
        <w:r>
          <w:rPr>
            <w:noProof/>
            <w:webHidden/>
          </w:rPr>
          <w:t>13</w:t>
        </w:r>
        <w:r>
          <w:rPr>
            <w:noProof/>
            <w:webHidden/>
          </w:rPr>
          <w:fldChar w:fldCharType="end"/>
        </w:r>
      </w:hyperlink>
    </w:p>
    <w:p w:rsidR="00C03E62" w:rsidRDefault="00C03E62">
      <w:pPr>
        <w:pStyle w:val="TOC3"/>
        <w:tabs>
          <w:tab w:val="right" w:leader="dot" w:pos="8302"/>
        </w:tabs>
        <w:rPr>
          <w:rFonts w:asciiTheme="minorHAnsi" w:eastAsiaTheme="minorEastAsia" w:hAnsiTheme="minorHAnsi" w:cstheme="minorBidi"/>
          <w:smallCaps w:val="0"/>
          <w:noProof/>
          <w:szCs w:val="22"/>
          <w:lang w:val="en-NZ" w:eastAsia="en-NZ"/>
        </w:rPr>
      </w:pPr>
      <w:hyperlink w:anchor="_Toc382991115" w:history="1">
        <w:r w:rsidRPr="00781A98">
          <w:rPr>
            <w:rStyle w:val="Hyperlink"/>
            <w:noProof/>
          </w:rPr>
          <w:t>The transfer of any substance to another licensee must be recorded and the records held by the department with a copy for the licensees for at least 10 years.  Remember to update your inventories.</w:t>
        </w:r>
        <w:r>
          <w:rPr>
            <w:noProof/>
            <w:webHidden/>
          </w:rPr>
          <w:tab/>
        </w:r>
        <w:r>
          <w:rPr>
            <w:noProof/>
            <w:webHidden/>
          </w:rPr>
          <w:fldChar w:fldCharType="begin"/>
        </w:r>
        <w:r>
          <w:rPr>
            <w:noProof/>
            <w:webHidden/>
          </w:rPr>
          <w:instrText xml:space="preserve"> PAGEREF _Toc382991115 \h </w:instrText>
        </w:r>
        <w:r>
          <w:rPr>
            <w:noProof/>
            <w:webHidden/>
          </w:rPr>
        </w:r>
        <w:r>
          <w:rPr>
            <w:noProof/>
            <w:webHidden/>
          </w:rPr>
          <w:fldChar w:fldCharType="separate"/>
        </w:r>
        <w:r>
          <w:rPr>
            <w:noProof/>
            <w:webHidden/>
          </w:rPr>
          <w:t>13</w:t>
        </w:r>
        <w:r>
          <w:rPr>
            <w:noProof/>
            <w:webHidden/>
          </w:rPr>
          <w:fldChar w:fldCharType="end"/>
        </w:r>
      </w:hyperlink>
    </w:p>
    <w:p w:rsidR="00C03E62" w:rsidRDefault="00C03E62">
      <w:pPr>
        <w:pStyle w:val="TOC3"/>
        <w:tabs>
          <w:tab w:val="right" w:leader="dot" w:pos="8302"/>
        </w:tabs>
        <w:rPr>
          <w:rFonts w:asciiTheme="minorHAnsi" w:eastAsiaTheme="minorEastAsia" w:hAnsiTheme="minorHAnsi" w:cstheme="minorBidi"/>
          <w:smallCaps w:val="0"/>
          <w:noProof/>
          <w:szCs w:val="22"/>
          <w:lang w:val="en-NZ" w:eastAsia="en-NZ"/>
        </w:rPr>
      </w:pPr>
      <w:hyperlink w:anchor="_Toc382991116" w:history="1">
        <w:r w:rsidRPr="00781A98">
          <w:rPr>
            <w:rStyle w:val="Hyperlink"/>
            <w:b/>
            <w:noProof/>
          </w:rPr>
          <w:t>Date</w:t>
        </w:r>
        <w:r>
          <w:rPr>
            <w:noProof/>
            <w:webHidden/>
          </w:rPr>
          <w:tab/>
        </w:r>
        <w:r>
          <w:rPr>
            <w:noProof/>
            <w:webHidden/>
          </w:rPr>
          <w:fldChar w:fldCharType="begin"/>
        </w:r>
        <w:r>
          <w:rPr>
            <w:noProof/>
            <w:webHidden/>
          </w:rPr>
          <w:instrText xml:space="preserve"> PAGEREF _Toc382991116 \h </w:instrText>
        </w:r>
        <w:r>
          <w:rPr>
            <w:noProof/>
            <w:webHidden/>
          </w:rPr>
        </w:r>
        <w:r>
          <w:rPr>
            <w:noProof/>
            <w:webHidden/>
          </w:rPr>
          <w:fldChar w:fldCharType="separate"/>
        </w:r>
        <w:r>
          <w:rPr>
            <w:noProof/>
            <w:webHidden/>
          </w:rPr>
          <w:t>13</w:t>
        </w:r>
        <w:r>
          <w:rPr>
            <w:noProof/>
            <w:webHidden/>
          </w:rPr>
          <w:fldChar w:fldCharType="end"/>
        </w:r>
      </w:hyperlink>
    </w:p>
    <w:p w:rsidR="00C03E62" w:rsidRDefault="00C03E62">
      <w:pPr>
        <w:pStyle w:val="TOC1"/>
        <w:tabs>
          <w:tab w:val="right" w:leader="dot" w:pos="8302"/>
        </w:tabs>
        <w:rPr>
          <w:rFonts w:asciiTheme="minorHAnsi" w:eastAsiaTheme="minorEastAsia" w:hAnsiTheme="minorHAnsi" w:cstheme="minorBidi"/>
          <w:b w:val="0"/>
          <w:caps w:val="0"/>
          <w:noProof/>
          <w:szCs w:val="22"/>
          <w:u w:val="none"/>
          <w:lang w:val="en-NZ" w:eastAsia="en-NZ"/>
        </w:rPr>
      </w:pPr>
      <w:hyperlink w:anchor="_Toc382991117" w:history="1">
        <w:r w:rsidRPr="00781A98">
          <w:rPr>
            <w:rStyle w:val="Hyperlink"/>
            <w:noProof/>
          </w:rPr>
          <w:t>Original Licensee</w:t>
        </w:r>
        <w:r>
          <w:rPr>
            <w:noProof/>
            <w:webHidden/>
          </w:rPr>
          <w:tab/>
        </w:r>
        <w:r>
          <w:rPr>
            <w:noProof/>
            <w:webHidden/>
          </w:rPr>
          <w:fldChar w:fldCharType="begin"/>
        </w:r>
        <w:r>
          <w:rPr>
            <w:noProof/>
            <w:webHidden/>
          </w:rPr>
          <w:instrText xml:space="preserve"> PAGEREF _Toc382991117 \h </w:instrText>
        </w:r>
        <w:r>
          <w:rPr>
            <w:noProof/>
            <w:webHidden/>
          </w:rPr>
        </w:r>
        <w:r>
          <w:rPr>
            <w:noProof/>
            <w:webHidden/>
          </w:rPr>
          <w:fldChar w:fldCharType="separate"/>
        </w:r>
        <w:r>
          <w:rPr>
            <w:noProof/>
            <w:webHidden/>
          </w:rPr>
          <w:t>13</w:t>
        </w:r>
        <w:r>
          <w:rPr>
            <w:noProof/>
            <w:webHidden/>
          </w:rPr>
          <w:fldChar w:fldCharType="end"/>
        </w:r>
      </w:hyperlink>
    </w:p>
    <w:p w:rsidR="00C03E62" w:rsidRDefault="00C03E62">
      <w:pPr>
        <w:pStyle w:val="TOC2"/>
        <w:tabs>
          <w:tab w:val="right" w:leader="dot" w:pos="8302"/>
        </w:tabs>
        <w:rPr>
          <w:rFonts w:asciiTheme="minorHAnsi" w:eastAsiaTheme="minorEastAsia" w:hAnsiTheme="minorHAnsi" w:cstheme="minorBidi"/>
          <w:b w:val="0"/>
          <w:smallCaps w:val="0"/>
          <w:noProof/>
          <w:szCs w:val="22"/>
          <w:lang w:val="en-NZ" w:eastAsia="en-NZ"/>
        </w:rPr>
      </w:pPr>
      <w:hyperlink w:anchor="_Toc382991118" w:history="1">
        <w:r w:rsidRPr="00781A98">
          <w:rPr>
            <w:rStyle w:val="Hyperlink"/>
            <w:noProof/>
          </w:rPr>
          <w:t>Appendix 5: Safety Surveys</w:t>
        </w:r>
        <w:r>
          <w:rPr>
            <w:noProof/>
            <w:webHidden/>
          </w:rPr>
          <w:tab/>
        </w:r>
        <w:r>
          <w:rPr>
            <w:noProof/>
            <w:webHidden/>
          </w:rPr>
          <w:fldChar w:fldCharType="begin"/>
        </w:r>
        <w:r>
          <w:rPr>
            <w:noProof/>
            <w:webHidden/>
          </w:rPr>
          <w:instrText xml:space="preserve"> PAGEREF _Toc382991118 \h </w:instrText>
        </w:r>
        <w:r>
          <w:rPr>
            <w:noProof/>
            <w:webHidden/>
          </w:rPr>
        </w:r>
        <w:r>
          <w:rPr>
            <w:noProof/>
            <w:webHidden/>
          </w:rPr>
          <w:fldChar w:fldCharType="separate"/>
        </w:r>
        <w:r>
          <w:rPr>
            <w:noProof/>
            <w:webHidden/>
          </w:rPr>
          <w:t>13</w:t>
        </w:r>
        <w:r>
          <w:rPr>
            <w:noProof/>
            <w:webHidden/>
          </w:rPr>
          <w:fldChar w:fldCharType="end"/>
        </w:r>
      </w:hyperlink>
    </w:p>
    <w:p w:rsidR="00F03B6A" w:rsidRDefault="004A21BD">
      <w:pPr>
        <w:spacing w:line="360" w:lineRule="auto"/>
        <w:jc w:val="center"/>
        <w:rPr>
          <w:rFonts w:ascii="Garamond" w:hAnsi="Garamond"/>
        </w:rPr>
      </w:pPr>
      <w:r>
        <w:rPr>
          <w:rFonts w:ascii="Garamond" w:hAnsi="Garamond"/>
        </w:rPr>
        <w:fldChar w:fldCharType="end"/>
      </w:r>
      <w:r>
        <w:rPr>
          <w:rFonts w:ascii="Garamond" w:hAnsi="Garamond"/>
        </w:rPr>
        <w:br w:type="page"/>
      </w:r>
    </w:p>
    <w:p w:rsidR="00466D84" w:rsidRDefault="00466D84">
      <w:pPr>
        <w:pStyle w:val="Heading1"/>
        <w:jc w:val="left"/>
      </w:pPr>
      <w:bookmarkStart w:id="2" w:name="_Toc50180999"/>
      <w:bookmarkStart w:id="3" w:name="_Toc382991078"/>
      <w:r>
        <w:lastRenderedPageBreak/>
        <w:t>1. Radiation Hazards and Controls</w:t>
      </w:r>
      <w:bookmarkEnd w:id="2"/>
      <w:bookmarkEnd w:id="3"/>
    </w:p>
    <w:p w:rsidR="00466D84" w:rsidRDefault="00466D84">
      <w:pPr>
        <w:jc w:val="both"/>
        <w:rPr>
          <w:rFonts w:ascii="Garamond" w:hAnsi="Garamond"/>
          <w:sz w:val="24"/>
          <w:lang w:val="en-NZ"/>
        </w:rPr>
      </w:pPr>
    </w:p>
    <w:p w:rsidR="00466D84" w:rsidRDefault="00466D84" w:rsidP="00F03B6A">
      <w:pPr>
        <w:pStyle w:val="Heading2"/>
      </w:pPr>
      <w:bookmarkStart w:id="4" w:name="_Toc50181000"/>
      <w:bookmarkStart w:id="5" w:name="_Toc382991079"/>
      <w:r>
        <w:t>1.1 Introduction</w:t>
      </w:r>
      <w:bookmarkEnd w:id="4"/>
      <w:bookmarkEnd w:id="5"/>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 xml:space="preserve">The </w:t>
      </w:r>
      <w:smartTag w:uri="urn:schemas-microsoft-com:office:smarttags" w:element="place">
        <w:smartTag w:uri="urn:schemas-microsoft-com:office:smarttags" w:element="PlaceType">
          <w:r>
            <w:rPr>
              <w:rFonts w:ascii="Garamond" w:hAnsi="Garamond"/>
              <w:sz w:val="24"/>
              <w:lang w:val="en-NZ"/>
            </w:rPr>
            <w:t>University</w:t>
          </w:r>
        </w:smartTag>
        <w:r>
          <w:rPr>
            <w:rFonts w:ascii="Garamond" w:hAnsi="Garamond"/>
            <w:sz w:val="24"/>
            <w:lang w:val="en-NZ"/>
          </w:rPr>
          <w:t xml:space="preserve"> of </w:t>
        </w:r>
        <w:smartTag w:uri="urn:schemas-microsoft-com:office:smarttags" w:element="PlaceName">
          <w:r>
            <w:rPr>
              <w:rFonts w:ascii="Garamond" w:hAnsi="Garamond"/>
              <w:sz w:val="24"/>
              <w:lang w:val="en-NZ"/>
            </w:rPr>
            <w:t>Otago</w:t>
          </w:r>
        </w:smartTag>
      </w:smartTag>
      <w:r>
        <w:rPr>
          <w:rFonts w:ascii="Garamond" w:hAnsi="Garamond"/>
          <w:sz w:val="24"/>
          <w:lang w:val="en-NZ"/>
        </w:rPr>
        <w:t xml:space="preserve"> uses </w:t>
      </w:r>
      <w:r w:rsidR="009B6C09">
        <w:rPr>
          <w:rFonts w:ascii="Garamond" w:hAnsi="Garamond"/>
          <w:sz w:val="24"/>
          <w:lang w:val="en-NZ"/>
        </w:rPr>
        <w:t xml:space="preserve">ionising </w:t>
      </w:r>
      <w:r>
        <w:rPr>
          <w:rFonts w:ascii="Garamond" w:hAnsi="Garamond"/>
          <w:sz w:val="24"/>
          <w:lang w:val="en-NZ"/>
        </w:rPr>
        <w:t>radiation where there is a net benefit to society from teaching or research</w:t>
      </w:r>
      <w:r w:rsidR="009B6C09">
        <w:rPr>
          <w:rFonts w:ascii="Garamond" w:hAnsi="Garamond"/>
          <w:sz w:val="24"/>
          <w:lang w:val="en-NZ"/>
        </w:rPr>
        <w:t>,</w:t>
      </w:r>
      <w:r>
        <w:rPr>
          <w:rFonts w:ascii="Garamond" w:hAnsi="Garamond"/>
          <w:sz w:val="24"/>
          <w:lang w:val="en-NZ"/>
        </w:rPr>
        <w:t xml:space="preserve"> or to the clinical management of a patient</w:t>
      </w:r>
      <w:r w:rsidR="009B6C09">
        <w:rPr>
          <w:rFonts w:ascii="Garamond" w:hAnsi="Garamond"/>
          <w:sz w:val="24"/>
          <w:lang w:val="en-NZ"/>
        </w:rPr>
        <w:t>,</w:t>
      </w:r>
      <w:r>
        <w:rPr>
          <w:rFonts w:ascii="Garamond" w:hAnsi="Garamond"/>
          <w:sz w:val="24"/>
          <w:lang w:val="en-NZ"/>
        </w:rPr>
        <w:t xml:space="preserve"> and where it is the most appropriate methodology.  </w:t>
      </w:r>
    </w:p>
    <w:p w:rsidR="00466D84" w:rsidRDefault="00466D84" w:rsidP="00F03B6A">
      <w:pPr>
        <w:jc w:val="both"/>
        <w:rPr>
          <w:rFonts w:ascii="Garamond" w:hAnsi="Garamond"/>
          <w:sz w:val="24"/>
          <w:lang w:val="en-NZ"/>
        </w:rPr>
      </w:pPr>
    </w:p>
    <w:p w:rsidR="00466D84" w:rsidRPr="004C24C7" w:rsidRDefault="00466D84" w:rsidP="00F03B6A">
      <w:pPr>
        <w:pStyle w:val="Heading2"/>
      </w:pPr>
      <w:bookmarkStart w:id="6" w:name="_Toc50181001"/>
      <w:bookmarkStart w:id="7" w:name="_Toc382991080"/>
      <w:r w:rsidRPr="004C24C7">
        <w:t>1.2 Uses of Ioni</w:t>
      </w:r>
      <w:r w:rsidR="00ED07A2">
        <w:t>sing R</w:t>
      </w:r>
      <w:r w:rsidRPr="004C24C7">
        <w:t xml:space="preserve">adiation in the </w:t>
      </w:r>
      <w:bookmarkEnd w:id="6"/>
      <w:r w:rsidR="00C03E62">
        <w:t>[insert department name here]</w:t>
      </w:r>
      <w:bookmarkEnd w:id="7"/>
    </w:p>
    <w:p w:rsidR="00466D84" w:rsidRDefault="00466D84" w:rsidP="00F03B6A">
      <w:pPr>
        <w:jc w:val="both"/>
        <w:rPr>
          <w:rFonts w:ascii="Garamond" w:hAnsi="Garamond"/>
          <w:sz w:val="24"/>
          <w:lang w:val="en-NZ"/>
        </w:rPr>
      </w:pPr>
    </w:p>
    <w:p w:rsidR="00466D84" w:rsidRDefault="00466D84" w:rsidP="00F03B6A">
      <w:pPr>
        <w:pStyle w:val="BodyText"/>
      </w:pPr>
      <w:r>
        <w:t xml:space="preserve">The </w:t>
      </w:r>
      <w:r w:rsidR="00C03E62" w:rsidRPr="00C03E62">
        <w:rPr>
          <w:i/>
          <w:highlight w:val="yellow"/>
        </w:rPr>
        <w:t>[insert Department Name here]</w:t>
      </w:r>
      <w:r w:rsidR="00ED07A2">
        <w:t xml:space="preserve"> has</w:t>
      </w:r>
      <w:r>
        <w:t xml:space="preserve"> assessed and justifies the following uses of </w:t>
      </w:r>
      <w:r w:rsidRPr="00C03E62">
        <w:t>un</w:t>
      </w:r>
      <w:r>
        <w:t>se</w:t>
      </w:r>
      <w:r w:rsidR="002C12E2">
        <w:t>al</w:t>
      </w:r>
      <w:r>
        <w:t>ed radiation sources:</w:t>
      </w:r>
    </w:p>
    <w:p w:rsidR="00466D84" w:rsidRDefault="00466D84" w:rsidP="00F03B6A">
      <w:pPr>
        <w:jc w:val="both"/>
        <w:rPr>
          <w:rFonts w:ascii="Garamond" w:hAnsi="Garamond"/>
          <w:sz w:val="24"/>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073"/>
        <w:gridCol w:w="3073"/>
      </w:tblGrid>
      <w:tr w:rsidR="00466D84">
        <w:tblPrEx>
          <w:tblCellMar>
            <w:top w:w="0" w:type="dxa"/>
            <w:bottom w:w="0" w:type="dxa"/>
          </w:tblCellMar>
        </w:tblPrEx>
        <w:trPr>
          <w:cantSplit/>
        </w:trPr>
        <w:tc>
          <w:tcPr>
            <w:tcW w:w="2376" w:type="dxa"/>
          </w:tcPr>
          <w:p w:rsidR="00466D84" w:rsidRDefault="00466D84" w:rsidP="00F03B6A">
            <w:pPr>
              <w:jc w:val="both"/>
              <w:rPr>
                <w:rFonts w:ascii="Garamond" w:hAnsi="Garamond"/>
                <w:b/>
                <w:sz w:val="24"/>
                <w:lang w:val="en-NZ"/>
              </w:rPr>
            </w:pPr>
            <w:r>
              <w:rPr>
                <w:rFonts w:ascii="Garamond" w:hAnsi="Garamond"/>
                <w:b/>
                <w:sz w:val="24"/>
                <w:lang w:val="en-NZ"/>
              </w:rPr>
              <w:t>Radio</w:t>
            </w:r>
            <w:r w:rsidR="002C12E2">
              <w:rPr>
                <w:rFonts w:ascii="Garamond" w:hAnsi="Garamond"/>
                <w:b/>
                <w:sz w:val="24"/>
                <w:lang w:val="en-NZ"/>
              </w:rPr>
              <w:t>nuclide</w:t>
            </w:r>
          </w:p>
        </w:tc>
        <w:tc>
          <w:tcPr>
            <w:tcW w:w="3073" w:type="dxa"/>
          </w:tcPr>
          <w:p w:rsidR="00466D84" w:rsidRDefault="00466D84" w:rsidP="00F03B6A">
            <w:pPr>
              <w:jc w:val="both"/>
              <w:rPr>
                <w:rFonts w:ascii="Garamond" w:hAnsi="Garamond"/>
                <w:b/>
                <w:sz w:val="24"/>
                <w:lang w:val="en-NZ"/>
              </w:rPr>
            </w:pPr>
            <w:r>
              <w:rPr>
                <w:rFonts w:ascii="Garamond" w:hAnsi="Garamond"/>
                <w:b/>
                <w:sz w:val="24"/>
                <w:lang w:val="en-NZ"/>
              </w:rPr>
              <w:t>Use (include area)</w:t>
            </w:r>
          </w:p>
        </w:tc>
        <w:tc>
          <w:tcPr>
            <w:tcW w:w="3073" w:type="dxa"/>
          </w:tcPr>
          <w:p w:rsidR="00466D84" w:rsidRDefault="00466D84" w:rsidP="00F03B6A">
            <w:pPr>
              <w:jc w:val="both"/>
              <w:rPr>
                <w:rFonts w:ascii="Garamond" w:hAnsi="Garamond"/>
                <w:b/>
                <w:sz w:val="24"/>
                <w:lang w:val="en-NZ"/>
              </w:rPr>
            </w:pPr>
            <w:r>
              <w:rPr>
                <w:rFonts w:ascii="Garamond" w:hAnsi="Garamond"/>
                <w:b/>
                <w:sz w:val="24"/>
                <w:lang w:val="en-NZ"/>
              </w:rPr>
              <w:t>Justification</w:t>
            </w:r>
          </w:p>
        </w:tc>
      </w:tr>
      <w:tr w:rsidR="00466D84">
        <w:tblPrEx>
          <w:tblCellMar>
            <w:top w:w="0" w:type="dxa"/>
            <w:bottom w:w="0" w:type="dxa"/>
          </w:tblCellMar>
        </w:tblPrEx>
        <w:trPr>
          <w:cantSplit/>
        </w:trPr>
        <w:tc>
          <w:tcPr>
            <w:tcW w:w="2376"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Pr>
        <w:tc>
          <w:tcPr>
            <w:tcW w:w="2376"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Pr>
        <w:tc>
          <w:tcPr>
            <w:tcW w:w="2376"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c>
          <w:tcPr>
            <w:tcW w:w="3073" w:type="dxa"/>
          </w:tcPr>
          <w:p w:rsidR="00466D84" w:rsidRDefault="00466D84" w:rsidP="00F03B6A">
            <w:pPr>
              <w:jc w:val="both"/>
              <w:rPr>
                <w:rFonts w:ascii="Garamond" w:hAnsi="Garamond"/>
                <w:sz w:val="24"/>
                <w:lang w:val="en-NZ"/>
              </w:rPr>
            </w:pPr>
          </w:p>
        </w:tc>
      </w:tr>
    </w:tbl>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 xml:space="preserve">The use of radiation is managed in compliance with the Radiation Protection Act 1965, The Radiation Protection Regulations 1982, the National Radiation Laboratory (NRL) Code of Practices and the </w:t>
      </w:r>
      <w:smartTag w:uri="urn:schemas-microsoft-com:office:smarttags" w:element="place">
        <w:smartTag w:uri="urn:schemas-microsoft-com:office:smarttags" w:element="PlaceType">
          <w:r>
            <w:rPr>
              <w:rFonts w:ascii="Garamond" w:hAnsi="Garamond"/>
              <w:sz w:val="24"/>
              <w:lang w:val="en-NZ"/>
            </w:rPr>
            <w:t>University</w:t>
          </w:r>
        </w:smartTag>
        <w:r>
          <w:rPr>
            <w:rFonts w:ascii="Garamond" w:hAnsi="Garamond"/>
            <w:sz w:val="24"/>
            <w:lang w:val="en-NZ"/>
          </w:rPr>
          <w:t xml:space="preserve"> of </w:t>
        </w:r>
        <w:smartTag w:uri="urn:schemas-microsoft-com:office:smarttags" w:element="PlaceName">
          <w:r>
            <w:rPr>
              <w:rFonts w:ascii="Garamond" w:hAnsi="Garamond"/>
              <w:sz w:val="24"/>
              <w:lang w:val="en-NZ"/>
            </w:rPr>
            <w:t>Otago</w:t>
          </w:r>
        </w:smartTag>
      </w:smartTag>
      <w:r>
        <w:rPr>
          <w:rFonts w:ascii="Garamond" w:hAnsi="Garamond"/>
          <w:sz w:val="24"/>
          <w:lang w:val="en-NZ"/>
        </w:rPr>
        <w:t xml:space="preserve"> policy and radiation safety plan.  </w:t>
      </w:r>
    </w:p>
    <w:p w:rsidR="00466D84" w:rsidRDefault="00466D84" w:rsidP="00F03B6A">
      <w:pPr>
        <w:jc w:val="both"/>
        <w:rPr>
          <w:rFonts w:ascii="Garamond" w:hAnsi="Garamond"/>
          <w:sz w:val="24"/>
          <w:lang w:val="en-NZ"/>
        </w:rPr>
      </w:pPr>
    </w:p>
    <w:p w:rsidR="00466D84" w:rsidRDefault="00466D84" w:rsidP="00F03B6A">
      <w:pPr>
        <w:pStyle w:val="Heading2"/>
      </w:pPr>
      <w:bookmarkStart w:id="8" w:name="_Toc50181002"/>
      <w:bookmarkStart w:id="9" w:name="_Toc382991081"/>
      <w:r>
        <w:t>1.3 Licences</w:t>
      </w:r>
      <w:bookmarkEnd w:id="8"/>
      <w:bookmarkEnd w:id="9"/>
    </w:p>
    <w:p w:rsidR="00466D84" w:rsidRDefault="00466D84" w:rsidP="00F03B6A"/>
    <w:p w:rsidR="00466D84" w:rsidRDefault="00466D84" w:rsidP="00F03B6A">
      <w:pPr>
        <w:jc w:val="both"/>
        <w:rPr>
          <w:rFonts w:ascii="Garamond" w:hAnsi="Garamond"/>
          <w:sz w:val="24"/>
          <w:lang w:val="en-NZ"/>
        </w:rPr>
      </w:pPr>
      <w:r>
        <w:rPr>
          <w:rFonts w:ascii="Garamond" w:hAnsi="Garamond"/>
          <w:sz w:val="24"/>
          <w:lang w:val="en-NZ"/>
        </w:rPr>
        <w:t xml:space="preserve">The legislation requires the licensing of individuals who have specific responsibilities for the safe use of radiation sources indicated by their license. </w:t>
      </w:r>
    </w:p>
    <w:p w:rsidR="00466D84" w:rsidRDefault="00466D84" w:rsidP="00F03B6A">
      <w:pPr>
        <w:jc w:val="both"/>
        <w:rPr>
          <w:rFonts w:ascii="Garamond" w:hAnsi="Garamond"/>
          <w:sz w:val="24"/>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466D84">
        <w:tblPrEx>
          <w:tblCellMar>
            <w:top w:w="0" w:type="dxa"/>
            <w:bottom w:w="0" w:type="dxa"/>
          </w:tblCellMar>
        </w:tblPrEx>
        <w:tc>
          <w:tcPr>
            <w:tcW w:w="1704" w:type="dxa"/>
          </w:tcPr>
          <w:p w:rsidR="00466D84" w:rsidRDefault="00466D84" w:rsidP="00F03B6A">
            <w:pPr>
              <w:rPr>
                <w:rFonts w:ascii="Garamond" w:hAnsi="Garamond"/>
                <w:sz w:val="24"/>
                <w:lang w:val="en-NZ"/>
              </w:rPr>
            </w:pPr>
            <w:r>
              <w:rPr>
                <w:rFonts w:ascii="Garamond" w:hAnsi="Garamond"/>
                <w:sz w:val="24"/>
                <w:lang w:val="en-NZ"/>
              </w:rPr>
              <w:t>Name of Licensee</w:t>
            </w:r>
          </w:p>
        </w:tc>
        <w:tc>
          <w:tcPr>
            <w:tcW w:w="1704" w:type="dxa"/>
          </w:tcPr>
          <w:p w:rsidR="00466D84" w:rsidRDefault="00466D84" w:rsidP="00F03B6A">
            <w:pPr>
              <w:rPr>
                <w:rFonts w:ascii="Garamond" w:hAnsi="Garamond"/>
                <w:sz w:val="24"/>
                <w:lang w:val="en-NZ"/>
              </w:rPr>
            </w:pPr>
            <w:r>
              <w:rPr>
                <w:rFonts w:ascii="Garamond" w:hAnsi="Garamond"/>
                <w:sz w:val="24"/>
                <w:lang w:val="en-NZ"/>
              </w:rPr>
              <w:t>Radiation Safety Officer</w:t>
            </w:r>
          </w:p>
        </w:tc>
        <w:tc>
          <w:tcPr>
            <w:tcW w:w="1704" w:type="dxa"/>
          </w:tcPr>
          <w:p w:rsidR="00466D84" w:rsidRDefault="00466D84" w:rsidP="00F03B6A">
            <w:pPr>
              <w:rPr>
                <w:rFonts w:ascii="Garamond" w:hAnsi="Garamond"/>
                <w:sz w:val="24"/>
                <w:lang w:val="en-NZ"/>
              </w:rPr>
            </w:pPr>
            <w:r>
              <w:rPr>
                <w:rFonts w:ascii="Garamond" w:hAnsi="Garamond"/>
                <w:sz w:val="24"/>
                <w:lang w:val="en-NZ"/>
              </w:rPr>
              <w:t>Radionuclide and form</w:t>
            </w:r>
          </w:p>
        </w:tc>
        <w:tc>
          <w:tcPr>
            <w:tcW w:w="1704" w:type="dxa"/>
          </w:tcPr>
          <w:p w:rsidR="00466D84" w:rsidRDefault="00466D84" w:rsidP="00F03B6A">
            <w:pPr>
              <w:rPr>
                <w:rFonts w:ascii="Garamond" w:hAnsi="Garamond"/>
                <w:sz w:val="24"/>
                <w:lang w:val="en-NZ"/>
              </w:rPr>
            </w:pPr>
            <w:r>
              <w:rPr>
                <w:rFonts w:ascii="Garamond" w:hAnsi="Garamond"/>
                <w:sz w:val="24"/>
                <w:lang w:val="en-NZ"/>
              </w:rPr>
              <w:t>Maximum Activity</w:t>
            </w:r>
          </w:p>
        </w:tc>
        <w:tc>
          <w:tcPr>
            <w:tcW w:w="1704" w:type="dxa"/>
          </w:tcPr>
          <w:p w:rsidR="00466D84" w:rsidRDefault="00466D84" w:rsidP="00F03B6A">
            <w:pPr>
              <w:rPr>
                <w:rFonts w:ascii="Garamond" w:hAnsi="Garamond"/>
                <w:sz w:val="24"/>
                <w:lang w:val="en-NZ"/>
              </w:rPr>
            </w:pPr>
            <w:r>
              <w:rPr>
                <w:rFonts w:ascii="Garamond" w:hAnsi="Garamond"/>
                <w:sz w:val="24"/>
                <w:lang w:val="en-NZ"/>
              </w:rPr>
              <w:t>Standard order</w:t>
            </w:r>
          </w:p>
        </w:tc>
      </w:tr>
      <w:tr w:rsidR="00466D84">
        <w:tblPrEx>
          <w:tblCellMar>
            <w:top w:w="0" w:type="dxa"/>
            <w:bottom w:w="0" w:type="dxa"/>
          </w:tblCellMar>
        </w:tblPrEx>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c>
          <w:tcPr>
            <w:tcW w:w="1704" w:type="dxa"/>
          </w:tcPr>
          <w:p w:rsidR="00466D84" w:rsidRDefault="00466D84" w:rsidP="00F03B6A">
            <w:pPr>
              <w:jc w:val="both"/>
              <w:rPr>
                <w:rFonts w:ascii="Garamond" w:hAnsi="Garamond"/>
                <w:sz w:val="24"/>
                <w:lang w:val="en-NZ"/>
              </w:rPr>
            </w:pPr>
          </w:p>
        </w:tc>
      </w:tr>
    </w:tbl>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p>
    <w:p w:rsidR="00466D84" w:rsidRDefault="00466D84" w:rsidP="00F03B6A">
      <w:pPr>
        <w:pStyle w:val="BodyText2"/>
        <w:rPr>
          <w:rFonts w:ascii="Garamond" w:hAnsi="Garamond"/>
        </w:rPr>
      </w:pPr>
      <w:proofErr w:type="gramStart"/>
      <w:r>
        <w:rPr>
          <w:rFonts w:ascii="Garamond" w:hAnsi="Garamond"/>
        </w:rPr>
        <w:t>Specifics of use within dept.</w:t>
      </w:r>
      <w:proofErr w:type="gramEnd"/>
      <w:r>
        <w:rPr>
          <w:rFonts w:ascii="Garamond" w:hAnsi="Garamond"/>
        </w:rPr>
        <w:t xml:space="preserve">  (</w:t>
      </w:r>
      <w:proofErr w:type="spellStart"/>
      <w:proofErr w:type="gramStart"/>
      <w:r>
        <w:rPr>
          <w:rFonts w:ascii="Garamond" w:hAnsi="Garamond"/>
        </w:rPr>
        <w:t>eg</w:t>
      </w:r>
      <w:proofErr w:type="spellEnd"/>
      <w:proofErr w:type="gramEnd"/>
      <w:r>
        <w:rPr>
          <w:rFonts w:ascii="Garamond" w:hAnsi="Garamond"/>
        </w:rPr>
        <w:t>: student use, supervision for students, ordering etc.)</w:t>
      </w:r>
      <w:r w:rsidR="00C03E62">
        <w:rPr>
          <w:rFonts w:ascii="Garamond" w:hAnsi="Garamond"/>
        </w:rPr>
        <w:t>:</w:t>
      </w:r>
    </w:p>
    <w:p w:rsidR="00C03E62" w:rsidRDefault="00C03E62" w:rsidP="00F03B6A">
      <w:pPr>
        <w:pStyle w:val="BodyText2"/>
        <w:rPr>
          <w:rFonts w:ascii="Garamond" w:hAnsi="Garamond"/>
        </w:rPr>
      </w:pPr>
      <w:bookmarkStart w:id="10" w:name="_GoBack"/>
      <w:bookmarkEnd w:id="10"/>
    </w:p>
    <w:p w:rsidR="00466D84" w:rsidRDefault="00466D84" w:rsidP="00F03B6A">
      <w:pPr>
        <w:jc w:val="both"/>
        <w:rPr>
          <w:rFonts w:ascii="Garamond" w:hAnsi="Garamond"/>
          <w:sz w:val="24"/>
          <w:lang w:val="en-NZ"/>
        </w:rPr>
      </w:pPr>
    </w:p>
    <w:p w:rsidR="00466D84" w:rsidRDefault="00466D84">
      <w:pPr>
        <w:pStyle w:val="Heading1"/>
      </w:pPr>
      <w:bookmarkStart w:id="11" w:name="_Toc50181003"/>
      <w:bookmarkStart w:id="12" w:name="_Toc382991082"/>
      <w:r>
        <w:t>2. Radiation Protection Principles</w:t>
      </w:r>
      <w:bookmarkEnd w:id="11"/>
      <w:bookmarkEnd w:id="12"/>
    </w:p>
    <w:p w:rsidR="00466D84" w:rsidRDefault="00466D84"/>
    <w:p w:rsidR="00466D84" w:rsidRDefault="00466D84" w:rsidP="00F03B6A">
      <w:pPr>
        <w:pStyle w:val="Heading2"/>
      </w:pPr>
      <w:bookmarkStart w:id="13" w:name="_Toc50181004"/>
      <w:bookmarkStart w:id="14" w:name="_Toc382991083"/>
      <w:r>
        <w:t>2.1 Basic Principles</w:t>
      </w:r>
      <w:bookmarkEnd w:id="13"/>
      <w:bookmarkEnd w:id="14"/>
    </w:p>
    <w:p w:rsidR="00466D84" w:rsidRDefault="00466D84" w:rsidP="00F03B6A"/>
    <w:p w:rsidR="00466D84" w:rsidRDefault="00466D84" w:rsidP="00F03B6A">
      <w:pPr>
        <w:numPr>
          <w:ilvl w:val="0"/>
          <w:numId w:val="26"/>
        </w:numPr>
        <w:rPr>
          <w:rFonts w:ascii="Garamond" w:hAnsi="Garamond"/>
          <w:sz w:val="24"/>
        </w:rPr>
      </w:pPr>
      <w:r>
        <w:rPr>
          <w:rFonts w:ascii="Garamond" w:hAnsi="Garamond"/>
          <w:sz w:val="24"/>
        </w:rPr>
        <w:t>No practice shall be adopted unless its introduction produces a positive net benefit to the exposed individuals or to society.  This justification for use shall be recorded.</w:t>
      </w:r>
    </w:p>
    <w:p w:rsidR="00466D84" w:rsidRDefault="00466D84" w:rsidP="00F03B6A">
      <w:pPr>
        <w:numPr>
          <w:ilvl w:val="0"/>
          <w:numId w:val="26"/>
        </w:numPr>
        <w:rPr>
          <w:rFonts w:ascii="Garamond" w:hAnsi="Garamond"/>
          <w:sz w:val="24"/>
        </w:rPr>
      </w:pPr>
      <w:r>
        <w:rPr>
          <w:rFonts w:ascii="Garamond" w:hAnsi="Garamond"/>
          <w:sz w:val="24"/>
        </w:rPr>
        <w:t>In relation to a particular practice, the magnitude of individual radiation doses, the number of people exposed, and the likelihood of incurring exposure shall be kept as low as reasonably achievable, economic and social factors being taken into account.</w:t>
      </w:r>
    </w:p>
    <w:p w:rsidR="00466D84" w:rsidRDefault="00466D84" w:rsidP="00F03B6A">
      <w:pPr>
        <w:numPr>
          <w:ilvl w:val="0"/>
          <w:numId w:val="26"/>
        </w:numPr>
        <w:rPr>
          <w:rFonts w:ascii="Garamond" w:hAnsi="Garamond"/>
          <w:sz w:val="24"/>
        </w:rPr>
      </w:pPr>
      <w:r>
        <w:rPr>
          <w:rFonts w:ascii="Garamond" w:hAnsi="Garamond"/>
          <w:sz w:val="24"/>
        </w:rPr>
        <w:t>The dose or potential does to individuals shall not exceed the limits set by NRL.</w:t>
      </w:r>
    </w:p>
    <w:p w:rsidR="00466D84" w:rsidRDefault="00466D84" w:rsidP="00F03B6A">
      <w:pPr>
        <w:rPr>
          <w:rFonts w:ascii="Garamond" w:hAnsi="Garamond"/>
          <w:sz w:val="24"/>
        </w:rPr>
      </w:pPr>
    </w:p>
    <w:p w:rsidR="00466D84" w:rsidRDefault="00466D84" w:rsidP="00F03B6A">
      <w:pPr>
        <w:rPr>
          <w:rFonts w:ascii="Garamond" w:hAnsi="Garamond"/>
          <w:sz w:val="24"/>
        </w:rPr>
      </w:pPr>
      <w:r>
        <w:rPr>
          <w:rFonts w:ascii="Garamond" w:hAnsi="Garamond"/>
          <w:sz w:val="24"/>
        </w:rPr>
        <w:t>Individual Dose Limits for persons exposed to radiation as a normal condition of employment:</w:t>
      </w:r>
    </w:p>
    <w:p w:rsidR="00466D84" w:rsidRDefault="00466D84" w:rsidP="00F03B6A">
      <w:pPr>
        <w:rPr>
          <w:rFonts w:ascii="Garamond" w:hAnsi="Garamond"/>
          <w:sz w:val="24"/>
        </w:rPr>
      </w:pPr>
    </w:p>
    <w:p w:rsidR="00466D84" w:rsidRDefault="00466D84" w:rsidP="00F03B6A">
      <w:pPr>
        <w:numPr>
          <w:ilvl w:val="0"/>
          <w:numId w:val="27"/>
        </w:numPr>
        <w:rPr>
          <w:rFonts w:ascii="Garamond" w:hAnsi="Garamond"/>
          <w:sz w:val="24"/>
        </w:rPr>
      </w:pPr>
      <w:r>
        <w:rPr>
          <w:rFonts w:ascii="Garamond" w:hAnsi="Garamond"/>
          <w:sz w:val="24"/>
        </w:rPr>
        <w:t>An effective does of 20 mSv per year averaged over any five year period and 40 mSv in any one year;</w:t>
      </w:r>
    </w:p>
    <w:p w:rsidR="00466D84" w:rsidRDefault="00466D84" w:rsidP="00F03B6A">
      <w:pPr>
        <w:numPr>
          <w:ilvl w:val="0"/>
          <w:numId w:val="27"/>
        </w:numPr>
        <w:rPr>
          <w:rFonts w:ascii="Garamond" w:hAnsi="Garamond"/>
          <w:sz w:val="24"/>
        </w:rPr>
      </w:pPr>
      <w:r>
        <w:rPr>
          <w:rFonts w:ascii="Garamond" w:hAnsi="Garamond"/>
          <w:sz w:val="24"/>
        </w:rPr>
        <w:t>An equivalent does of 500 mSv to the skin at the nominal depth of 7 mg/cm</w:t>
      </w:r>
      <w:r>
        <w:rPr>
          <w:rFonts w:ascii="Garamond" w:hAnsi="Garamond"/>
          <w:sz w:val="24"/>
          <w:vertAlign w:val="superscript"/>
        </w:rPr>
        <w:t xml:space="preserve">2 </w:t>
      </w:r>
      <w:r>
        <w:rPr>
          <w:rFonts w:ascii="Garamond" w:hAnsi="Garamond"/>
          <w:sz w:val="24"/>
        </w:rPr>
        <w:t>averaged over 1 cm</w:t>
      </w:r>
      <w:r>
        <w:rPr>
          <w:rFonts w:ascii="Garamond" w:hAnsi="Garamond"/>
          <w:sz w:val="24"/>
          <w:vertAlign w:val="superscript"/>
        </w:rPr>
        <w:t>2</w:t>
      </w:r>
      <w:r>
        <w:rPr>
          <w:rFonts w:ascii="Garamond" w:hAnsi="Garamond"/>
          <w:sz w:val="24"/>
        </w:rPr>
        <w:t>, regardless of the total area exposed, in any one year;</w:t>
      </w:r>
    </w:p>
    <w:p w:rsidR="00466D84" w:rsidRDefault="00466D84" w:rsidP="00F03B6A">
      <w:pPr>
        <w:numPr>
          <w:ilvl w:val="0"/>
          <w:numId w:val="27"/>
        </w:numPr>
        <w:rPr>
          <w:rFonts w:ascii="Garamond" w:hAnsi="Garamond"/>
          <w:sz w:val="24"/>
        </w:rPr>
      </w:pPr>
      <w:r>
        <w:rPr>
          <w:rFonts w:ascii="Garamond" w:hAnsi="Garamond"/>
          <w:sz w:val="24"/>
        </w:rPr>
        <w:t>An equivalent dose of 150 mSv to the lens of either eye in any one year;</w:t>
      </w:r>
    </w:p>
    <w:p w:rsidR="00466D84" w:rsidRDefault="00466D84" w:rsidP="00F03B6A">
      <w:pPr>
        <w:numPr>
          <w:ilvl w:val="0"/>
          <w:numId w:val="27"/>
        </w:numPr>
        <w:rPr>
          <w:rFonts w:ascii="Garamond" w:hAnsi="Garamond"/>
          <w:sz w:val="24"/>
        </w:rPr>
      </w:pPr>
      <w:r>
        <w:rPr>
          <w:rFonts w:ascii="Garamond" w:hAnsi="Garamond"/>
          <w:sz w:val="24"/>
        </w:rPr>
        <w:t>An equivalent dose of 500 mSv to the hands and feet in any one year;</w:t>
      </w:r>
    </w:p>
    <w:p w:rsidR="00466D84" w:rsidRDefault="00466D84" w:rsidP="00F03B6A">
      <w:pPr>
        <w:numPr>
          <w:ilvl w:val="0"/>
          <w:numId w:val="27"/>
        </w:numPr>
        <w:rPr>
          <w:rFonts w:ascii="Garamond" w:hAnsi="Garamond"/>
          <w:sz w:val="24"/>
        </w:rPr>
      </w:pPr>
      <w:r>
        <w:rPr>
          <w:rFonts w:ascii="Garamond" w:hAnsi="Garamond"/>
          <w:sz w:val="24"/>
        </w:rPr>
        <w:t>For women who declare themselves pregnant, and equivalent dose of 2 mSv at the surface of the abdomen over the remainder of the pregnancy.  The intake of any radioactive materials over the remainder of the pregnancy shall not exceed one-twentieth part of the annual limit intake (ALI).</w:t>
      </w:r>
    </w:p>
    <w:p w:rsidR="00466D84" w:rsidRDefault="00466D84" w:rsidP="00F03B6A">
      <w:pPr>
        <w:rPr>
          <w:rFonts w:ascii="Garamond" w:hAnsi="Garamond"/>
          <w:sz w:val="24"/>
        </w:rPr>
      </w:pPr>
    </w:p>
    <w:p w:rsidR="00466D84" w:rsidRDefault="00466D84" w:rsidP="00F03B6A">
      <w:pPr>
        <w:rPr>
          <w:rFonts w:ascii="Garamond" w:hAnsi="Garamond"/>
          <w:sz w:val="24"/>
        </w:rPr>
      </w:pPr>
      <w:r>
        <w:rPr>
          <w:rFonts w:ascii="Garamond" w:hAnsi="Garamond"/>
          <w:sz w:val="24"/>
        </w:rPr>
        <w:t xml:space="preserve">If the limit (a) is not to be exceeded, then in any year no worker shall take into the body (by ingestion, inhalation, or </w:t>
      </w:r>
      <w:r w:rsidR="004B1672">
        <w:rPr>
          <w:rFonts w:ascii="Garamond" w:hAnsi="Garamond"/>
          <w:sz w:val="24"/>
        </w:rPr>
        <w:t>through</w:t>
      </w:r>
      <w:r>
        <w:rPr>
          <w:rFonts w:ascii="Garamond" w:hAnsi="Garamond"/>
          <w:sz w:val="24"/>
        </w:rPr>
        <w:t xml:space="preserve"> a wound) more than one ALI of any radioactive material.  In the case of more than one radionuclide, the sum of the fractions of an ALI of each shall be less than one.</w:t>
      </w:r>
    </w:p>
    <w:p w:rsidR="00466D84" w:rsidRDefault="00466D84" w:rsidP="00F03B6A">
      <w:pPr>
        <w:rPr>
          <w:rFonts w:ascii="Garamond" w:hAnsi="Garamond"/>
          <w:sz w:val="24"/>
        </w:rPr>
      </w:pPr>
    </w:p>
    <w:p w:rsidR="00466D84" w:rsidRDefault="00466D84" w:rsidP="00F03B6A"/>
    <w:p w:rsidR="00466D84" w:rsidRDefault="00466D84">
      <w:pPr>
        <w:pStyle w:val="Heading1"/>
      </w:pPr>
      <w:bookmarkStart w:id="15" w:name="_Toc50181005"/>
      <w:bookmarkStart w:id="16" w:name="_Toc382991084"/>
      <w:r>
        <w:t>3. Radiation Hazard Control</w:t>
      </w:r>
      <w:bookmarkEnd w:id="15"/>
      <w:bookmarkEnd w:id="16"/>
    </w:p>
    <w:p w:rsidR="00466D84" w:rsidRDefault="00466D84"/>
    <w:p w:rsidR="00466D84" w:rsidRDefault="00466D84" w:rsidP="00F03B6A">
      <w:pPr>
        <w:pStyle w:val="Heading2"/>
      </w:pPr>
      <w:bookmarkStart w:id="17" w:name="_Toc50181006"/>
      <w:bookmarkStart w:id="18" w:name="_Toc382991085"/>
      <w:r>
        <w:t>3.1 External Radiation Hazards</w:t>
      </w:r>
      <w:bookmarkEnd w:id="17"/>
      <w:bookmarkEnd w:id="18"/>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radiation dose rates in any accessible working are</w:t>
      </w:r>
      <w:r w:rsidR="00335E20">
        <w:rPr>
          <w:rFonts w:ascii="Garamond" w:hAnsi="Garamond"/>
          <w:sz w:val="24"/>
          <w:lang w:val="en-NZ"/>
        </w:rPr>
        <w:t>a</w:t>
      </w:r>
      <w:r>
        <w:rPr>
          <w:rFonts w:ascii="Garamond" w:hAnsi="Garamond"/>
          <w:sz w:val="24"/>
          <w:lang w:val="en-NZ"/>
        </w:rPr>
        <w:t xml:space="preserve"> shall be kept to a minimum and in any case the following maximum rates should not be exceeded:</w:t>
      </w:r>
    </w:p>
    <w:p w:rsidR="00466D84" w:rsidRDefault="00466D84" w:rsidP="00F03B6A">
      <w:pPr>
        <w:numPr>
          <w:ilvl w:val="0"/>
          <w:numId w:val="28"/>
        </w:numPr>
        <w:tabs>
          <w:tab w:val="clear" w:pos="360"/>
          <w:tab w:val="num" w:pos="1080"/>
        </w:tabs>
        <w:ind w:left="1080"/>
        <w:jc w:val="both"/>
        <w:rPr>
          <w:rFonts w:ascii="Garamond" w:hAnsi="Garamond"/>
          <w:sz w:val="24"/>
          <w:lang w:val="en-NZ"/>
        </w:rPr>
      </w:pPr>
      <w:r>
        <w:rPr>
          <w:rFonts w:ascii="Garamond" w:hAnsi="Garamond"/>
          <w:sz w:val="24"/>
          <w:lang w:val="en-NZ"/>
        </w:rPr>
        <w:t xml:space="preserve">At the working position in front of a laboratory workbench the radiation dose rate should be less than 10 </w:t>
      </w:r>
      <w:r>
        <w:rPr>
          <w:rFonts w:ascii="Garamond" w:hAnsi="Garamond"/>
          <w:sz w:val="24"/>
          <w:lang w:val="en-NZ"/>
        </w:rPr>
        <w:sym w:font="Symbol" w:char="F06D"/>
      </w:r>
      <w:r>
        <w:rPr>
          <w:rFonts w:ascii="Garamond" w:hAnsi="Garamond"/>
          <w:sz w:val="24"/>
          <w:lang w:val="en-NZ"/>
        </w:rPr>
        <w:t>Sv/h.</w:t>
      </w:r>
    </w:p>
    <w:p w:rsidR="00466D84" w:rsidRDefault="00466D84" w:rsidP="00F03B6A">
      <w:pPr>
        <w:numPr>
          <w:ilvl w:val="0"/>
          <w:numId w:val="28"/>
        </w:numPr>
        <w:tabs>
          <w:tab w:val="clear" w:pos="360"/>
          <w:tab w:val="num" w:pos="1080"/>
        </w:tabs>
        <w:ind w:left="1080"/>
        <w:jc w:val="both"/>
        <w:rPr>
          <w:rFonts w:ascii="Garamond" w:hAnsi="Garamond"/>
          <w:sz w:val="24"/>
          <w:lang w:val="en-NZ"/>
        </w:rPr>
      </w:pPr>
      <w:r>
        <w:rPr>
          <w:rFonts w:ascii="Garamond" w:hAnsi="Garamond"/>
          <w:sz w:val="24"/>
          <w:lang w:val="en-NZ"/>
        </w:rPr>
        <w:t xml:space="preserve">On the surface of a container to be held frequently in the hand the radiation dose rate should be less than 250 </w:t>
      </w:r>
      <w:r>
        <w:rPr>
          <w:rFonts w:ascii="Garamond" w:hAnsi="Garamond"/>
          <w:sz w:val="24"/>
          <w:lang w:val="en-NZ"/>
        </w:rPr>
        <w:sym w:font="Symbol" w:char="F06D"/>
      </w:r>
      <w:r>
        <w:rPr>
          <w:rFonts w:ascii="Garamond" w:hAnsi="Garamond"/>
          <w:sz w:val="24"/>
          <w:lang w:val="en-NZ"/>
        </w:rPr>
        <w:t>Sv/h.</w:t>
      </w:r>
    </w:p>
    <w:p w:rsidR="00466D84" w:rsidRDefault="00466D84" w:rsidP="00F03B6A">
      <w:pPr>
        <w:numPr>
          <w:ilvl w:val="0"/>
          <w:numId w:val="28"/>
        </w:numPr>
        <w:tabs>
          <w:tab w:val="clear" w:pos="360"/>
          <w:tab w:val="num" w:pos="1080"/>
        </w:tabs>
        <w:ind w:left="1080"/>
        <w:jc w:val="both"/>
        <w:rPr>
          <w:rFonts w:ascii="Garamond" w:hAnsi="Garamond"/>
          <w:sz w:val="24"/>
          <w:lang w:val="en-NZ"/>
        </w:rPr>
      </w:pPr>
      <w:r>
        <w:rPr>
          <w:rFonts w:ascii="Garamond" w:hAnsi="Garamond"/>
          <w:sz w:val="24"/>
          <w:lang w:val="en-NZ"/>
        </w:rPr>
        <w:t xml:space="preserve">At the eyes the radiation dose rate should be less than 75 </w:t>
      </w:r>
      <w:r>
        <w:rPr>
          <w:rFonts w:ascii="Garamond" w:hAnsi="Garamond"/>
          <w:sz w:val="24"/>
          <w:lang w:val="en-NZ"/>
        </w:rPr>
        <w:sym w:font="Symbol" w:char="F06D"/>
      </w:r>
      <w:r>
        <w:rPr>
          <w:rFonts w:ascii="Garamond" w:hAnsi="Garamond"/>
          <w:sz w:val="24"/>
          <w:lang w:val="en-NZ"/>
        </w:rPr>
        <w:t>Sv/h.</w:t>
      </w:r>
    </w:p>
    <w:p w:rsidR="00466D84" w:rsidRDefault="00466D84" w:rsidP="00F03B6A">
      <w:pPr>
        <w:numPr>
          <w:ilvl w:val="0"/>
          <w:numId w:val="28"/>
        </w:numPr>
        <w:tabs>
          <w:tab w:val="clear" w:pos="360"/>
          <w:tab w:val="num" w:pos="1080"/>
        </w:tabs>
        <w:ind w:left="1080"/>
        <w:jc w:val="both"/>
        <w:rPr>
          <w:rFonts w:ascii="Garamond" w:hAnsi="Garamond"/>
          <w:sz w:val="24"/>
          <w:lang w:val="en-NZ"/>
        </w:rPr>
      </w:pPr>
      <w:r>
        <w:rPr>
          <w:rFonts w:ascii="Garamond" w:hAnsi="Garamond"/>
          <w:sz w:val="24"/>
          <w:lang w:val="en-NZ"/>
        </w:rPr>
        <w:t xml:space="preserve">The radiation dose rate in any area next to a laboratory accessible by people not working with radiation should be less than 0.5 </w:t>
      </w:r>
      <w:r>
        <w:rPr>
          <w:rFonts w:ascii="Garamond" w:hAnsi="Garamond"/>
          <w:sz w:val="24"/>
          <w:lang w:val="en-NZ"/>
        </w:rPr>
        <w:sym w:font="Symbol" w:char="F06D"/>
      </w:r>
      <w:r>
        <w:rPr>
          <w:rFonts w:ascii="Garamond" w:hAnsi="Garamond"/>
          <w:sz w:val="24"/>
          <w:lang w:val="en-NZ"/>
        </w:rPr>
        <w:t>Sv/h.  This may be relaxed by a factor up to 10 if the area is not occupied all of the time.</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Three means of providing protection from external radiation are:</w:t>
      </w:r>
    </w:p>
    <w:p w:rsidR="00466D84" w:rsidRDefault="00466D84" w:rsidP="00F03B6A">
      <w:pPr>
        <w:numPr>
          <w:ilvl w:val="0"/>
          <w:numId w:val="1"/>
        </w:numPr>
        <w:jc w:val="both"/>
        <w:rPr>
          <w:rFonts w:ascii="Garamond" w:hAnsi="Garamond"/>
          <w:sz w:val="24"/>
          <w:lang w:val="en-NZ"/>
        </w:rPr>
      </w:pPr>
      <w:r>
        <w:rPr>
          <w:rFonts w:ascii="Garamond" w:hAnsi="Garamond"/>
          <w:sz w:val="24"/>
          <w:lang w:val="en-NZ"/>
        </w:rPr>
        <w:t>Shielding – the closer to the source the shielding is, the smaller the area of shielding that is required.  It is preferable to shield the container rather than the whole work area.</w:t>
      </w:r>
    </w:p>
    <w:p w:rsidR="00466D84" w:rsidRDefault="00466D84" w:rsidP="00F03B6A">
      <w:pPr>
        <w:numPr>
          <w:ilvl w:val="0"/>
          <w:numId w:val="1"/>
        </w:numPr>
        <w:jc w:val="both"/>
        <w:rPr>
          <w:rFonts w:ascii="Garamond" w:hAnsi="Garamond"/>
          <w:sz w:val="24"/>
          <w:lang w:val="en-NZ"/>
        </w:rPr>
      </w:pPr>
      <w:r>
        <w:rPr>
          <w:rFonts w:ascii="Garamond" w:hAnsi="Garamond"/>
          <w:sz w:val="24"/>
          <w:lang w:val="en-NZ"/>
        </w:rPr>
        <w:t>Distance – whenever practical in a significant radiation field, equipment or operating procedures should be used to maximise the distance from the radiation source.</w:t>
      </w:r>
    </w:p>
    <w:p w:rsidR="00466D84" w:rsidRDefault="00466D84" w:rsidP="00F03B6A">
      <w:pPr>
        <w:numPr>
          <w:ilvl w:val="0"/>
          <w:numId w:val="1"/>
        </w:numPr>
        <w:jc w:val="both"/>
        <w:rPr>
          <w:rFonts w:ascii="Garamond" w:hAnsi="Garamond"/>
          <w:sz w:val="24"/>
          <w:lang w:val="en-NZ"/>
        </w:rPr>
      </w:pPr>
      <w:r>
        <w:rPr>
          <w:rFonts w:ascii="Garamond" w:hAnsi="Garamond"/>
          <w:sz w:val="24"/>
          <w:lang w:val="en-NZ"/>
        </w:rPr>
        <w:t>Time – the risk from an exposure to radiation is proportional to the total absorbed dose and is independent of the dose rate.  Therefore any reduction in the time of exposure results in a corresponding reduction in risk.</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p>
    <w:p w:rsidR="00466D84" w:rsidRDefault="00466D84" w:rsidP="00F03B6A">
      <w:pPr>
        <w:pStyle w:val="Heading2"/>
      </w:pPr>
    </w:p>
    <w:p w:rsidR="00466D84" w:rsidRDefault="00466D84" w:rsidP="00F03B6A">
      <w:pPr>
        <w:pStyle w:val="Heading2"/>
      </w:pPr>
      <w:bookmarkStart w:id="19" w:name="_Toc50181007"/>
      <w:bookmarkStart w:id="20" w:name="_Toc382991086"/>
      <w:r>
        <w:t>3.2 Internal Radiation Hazards</w:t>
      </w:r>
      <w:bookmarkEnd w:id="19"/>
      <w:bookmarkEnd w:id="20"/>
    </w:p>
    <w:p w:rsidR="00466D84" w:rsidRDefault="00466D84" w:rsidP="00F03B6A">
      <w:pPr>
        <w:jc w:val="both"/>
        <w:rPr>
          <w:rFonts w:ascii="Garamond" w:hAnsi="Garamond"/>
          <w:sz w:val="24"/>
          <w:lang w:val="en-NZ"/>
        </w:rPr>
      </w:pPr>
    </w:p>
    <w:p w:rsidR="00466D84" w:rsidRDefault="00466D84" w:rsidP="00F03B6A">
      <w:pPr>
        <w:numPr>
          <w:ilvl w:val="0"/>
          <w:numId w:val="29"/>
        </w:numPr>
        <w:pBdr>
          <w:top w:val="single" w:sz="4" w:space="1" w:color="auto"/>
          <w:left w:val="single" w:sz="4" w:space="4" w:color="auto"/>
          <w:bottom w:val="single" w:sz="4" w:space="1" w:color="auto"/>
          <w:right w:val="single" w:sz="4" w:space="4" w:color="auto"/>
        </w:pBdr>
        <w:rPr>
          <w:rFonts w:ascii="Garamond" w:hAnsi="Garamond"/>
          <w:sz w:val="24"/>
          <w:lang w:val="en-NZ"/>
        </w:rPr>
      </w:pPr>
      <w:r>
        <w:rPr>
          <w:rFonts w:ascii="Garamond" w:hAnsi="Garamond"/>
          <w:sz w:val="24"/>
          <w:lang w:val="en-NZ"/>
        </w:rPr>
        <w:t xml:space="preserve">The annual limit on uptake (ALI) of radionuclides used in this area is:  </w:t>
      </w:r>
    </w:p>
    <w:p w:rsidR="00466D84" w:rsidRDefault="00466D84" w:rsidP="00F03B6A">
      <w:pPr>
        <w:pBdr>
          <w:top w:val="single" w:sz="4" w:space="1" w:color="auto"/>
          <w:left w:val="single" w:sz="4" w:space="4" w:color="auto"/>
          <w:bottom w:val="single" w:sz="4" w:space="1" w:color="auto"/>
          <w:right w:val="single" w:sz="4" w:space="4" w:color="auto"/>
        </w:pBdr>
        <w:rPr>
          <w:rFonts w:ascii="Garamond" w:hAnsi="Garamond"/>
          <w:sz w:val="24"/>
          <w:lang w:val="en-NZ"/>
        </w:rPr>
      </w:pPr>
    </w:p>
    <w:p w:rsidR="00466D84" w:rsidRDefault="00466D84" w:rsidP="00F03B6A">
      <w:pPr>
        <w:numPr>
          <w:ilvl w:val="0"/>
          <w:numId w:val="29"/>
        </w:numPr>
        <w:pBdr>
          <w:top w:val="single" w:sz="4" w:space="1" w:color="auto"/>
          <w:left w:val="single" w:sz="4" w:space="4" w:color="auto"/>
          <w:bottom w:val="single" w:sz="4" w:space="1" w:color="auto"/>
          <w:right w:val="single" w:sz="4" w:space="4" w:color="auto"/>
        </w:pBdr>
        <w:rPr>
          <w:rFonts w:ascii="Garamond" w:hAnsi="Garamond"/>
          <w:sz w:val="24"/>
          <w:lang w:val="en-NZ"/>
        </w:rPr>
      </w:pPr>
      <w:r>
        <w:rPr>
          <w:rFonts w:ascii="Garamond" w:hAnsi="Garamond"/>
          <w:sz w:val="24"/>
          <w:lang w:val="en-NZ"/>
        </w:rPr>
        <w:t>This is the ingested or inhaled activity that in an average adult will ultimately give an effective dose of 20 mS</w:t>
      </w:r>
      <w:r w:rsidR="002C12E2">
        <w:rPr>
          <w:rFonts w:ascii="Garamond" w:hAnsi="Garamond"/>
          <w:sz w:val="24"/>
          <w:lang w:val="en-NZ"/>
        </w:rPr>
        <w:t>v</w:t>
      </w:r>
      <w:r>
        <w:rPr>
          <w:rFonts w:ascii="Garamond" w:hAnsi="Garamond"/>
          <w:sz w:val="24"/>
          <w:lang w:val="en-NZ"/>
        </w:rPr>
        <w:t>.</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most common routes of internal absorption that must be protected against are:</w:t>
      </w:r>
    </w:p>
    <w:p w:rsidR="00466D84" w:rsidRDefault="00466D84" w:rsidP="00F03B6A">
      <w:pPr>
        <w:jc w:val="both"/>
        <w:rPr>
          <w:rFonts w:ascii="Garamond" w:hAnsi="Garamond"/>
          <w:sz w:val="24"/>
          <w:lang w:val="en-NZ"/>
        </w:rPr>
      </w:pPr>
    </w:p>
    <w:p w:rsidR="00466D84" w:rsidRDefault="00466D84" w:rsidP="00F03B6A">
      <w:pPr>
        <w:numPr>
          <w:ilvl w:val="0"/>
          <w:numId w:val="2"/>
        </w:numPr>
        <w:jc w:val="both"/>
        <w:rPr>
          <w:rFonts w:ascii="Garamond" w:hAnsi="Garamond"/>
          <w:sz w:val="24"/>
          <w:lang w:val="en-NZ"/>
        </w:rPr>
      </w:pPr>
      <w:r>
        <w:rPr>
          <w:rFonts w:ascii="Garamond" w:hAnsi="Garamond"/>
          <w:sz w:val="24"/>
          <w:lang w:val="en-NZ"/>
        </w:rPr>
        <w:t>Ingestion – there shall be no food or cosmetics allowed in any area where radioactive materials are handled.  Procedures shall be designed to contain the radioactive material and minimise the chance of uncontrolled spread.</w:t>
      </w:r>
    </w:p>
    <w:p w:rsidR="00466D84" w:rsidRDefault="00466D84" w:rsidP="00F03B6A">
      <w:pPr>
        <w:numPr>
          <w:ilvl w:val="0"/>
          <w:numId w:val="2"/>
        </w:numPr>
        <w:jc w:val="both"/>
        <w:rPr>
          <w:rFonts w:ascii="Garamond" w:hAnsi="Garamond"/>
          <w:sz w:val="24"/>
          <w:lang w:val="en-NZ"/>
        </w:rPr>
      </w:pPr>
      <w:r>
        <w:rPr>
          <w:rFonts w:ascii="Garamond" w:hAnsi="Garamond"/>
          <w:sz w:val="24"/>
          <w:lang w:val="en-NZ"/>
        </w:rPr>
        <w:t>Inhalation – there is a risk of inhalation of radioactive material whenever the material is handled in open containers and is in a form that may vaporise, nebulise or be released as a gas.  Any radioactive material in a dry powder form can pose an inhalation hazard.  Use of a contained workstation or fume cupboard is recommended.</w:t>
      </w:r>
    </w:p>
    <w:p w:rsidR="00466D84" w:rsidRDefault="00466D84" w:rsidP="00F03B6A">
      <w:pPr>
        <w:numPr>
          <w:ilvl w:val="0"/>
          <w:numId w:val="2"/>
        </w:numPr>
        <w:jc w:val="both"/>
        <w:rPr>
          <w:rFonts w:ascii="Garamond" w:hAnsi="Garamond"/>
          <w:sz w:val="24"/>
          <w:lang w:val="en-NZ"/>
        </w:rPr>
      </w:pPr>
      <w:r>
        <w:rPr>
          <w:rFonts w:ascii="Garamond" w:hAnsi="Garamond"/>
          <w:sz w:val="24"/>
          <w:lang w:val="en-NZ"/>
        </w:rPr>
        <w:t>Through broken skin – any cuts or broken skin on the hands shall be covered with a waterproof dressing and disposable gloves shall be worn.</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Whenever unsealed radioactive materials are handled and there is a possibility of spillage or splashing, disposable gloves, a laboratory coat or gown and protective glasses shall be worn.</w:t>
      </w:r>
    </w:p>
    <w:p w:rsidR="00466D84" w:rsidRDefault="00466D84" w:rsidP="00F03B6A">
      <w:pPr>
        <w:rPr>
          <w:rFonts w:ascii="Garamond" w:hAnsi="Garamond"/>
          <w:sz w:val="24"/>
          <w:lang w:val="en-NZ"/>
        </w:rPr>
      </w:pPr>
      <w:r>
        <w:rPr>
          <w:rFonts w:ascii="Garamond" w:hAnsi="Garamond"/>
          <w:sz w:val="24"/>
          <w:lang w:val="en-NZ"/>
        </w:rPr>
        <w:t>(Departmental specifics should be entered in here).</w:t>
      </w: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pStyle w:val="Heading2"/>
      </w:pPr>
      <w:bookmarkStart w:id="21" w:name="_Toc50181008"/>
      <w:bookmarkStart w:id="22" w:name="_Toc382991087"/>
      <w:r>
        <w:t>3.4 Controlled Areas and Restricted Areas</w:t>
      </w:r>
      <w:bookmarkEnd w:id="21"/>
      <w:bookmarkEnd w:id="22"/>
    </w:p>
    <w:p w:rsidR="00466D84" w:rsidRDefault="00466D84" w:rsidP="00F03B6A"/>
    <w:p w:rsidR="00466D84" w:rsidRDefault="00466D84" w:rsidP="00F03B6A">
      <w:pPr>
        <w:pStyle w:val="BodyText"/>
        <w:rPr>
          <w:b/>
          <w:lang w:val="en-GB"/>
        </w:rPr>
      </w:pPr>
      <w:r>
        <w:rPr>
          <w:rFonts w:ascii="Times New Roman" w:hAnsi="Times New Roman"/>
          <w:b/>
          <w:sz w:val="20"/>
          <w:lang w:val="en-GB"/>
        </w:rPr>
        <w:t>(Useful to include a floor plan identifying the particular areas – floor plans can be obtained from Property Services)</w:t>
      </w:r>
    </w:p>
    <w:p w:rsidR="00466D84" w:rsidRDefault="00466D84" w:rsidP="00F03B6A">
      <w:pPr>
        <w:rPr>
          <w:rFonts w:ascii="Garamond" w:hAnsi="Garamond"/>
          <w:sz w:val="24"/>
        </w:rPr>
      </w:pPr>
    </w:p>
    <w:p w:rsidR="00466D84" w:rsidRDefault="00466D84" w:rsidP="00F03B6A">
      <w:pPr>
        <w:numPr>
          <w:ilvl w:val="0"/>
          <w:numId w:val="30"/>
        </w:numPr>
        <w:rPr>
          <w:rFonts w:ascii="Garamond" w:hAnsi="Garamond"/>
          <w:sz w:val="24"/>
        </w:rPr>
      </w:pPr>
      <w:r>
        <w:rPr>
          <w:rFonts w:ascii="Garamond" w:hAnsi="Garamond"/>
          <w:sz w:val="24"/>
        </w:rPr>
        <w:t xml:space="preserve">Any laboratory or work area where radioactive materials of greater activity than in Column B of Appendix 2 are dispensed shall be designated a Controlled Area as required by Regulation 21 of the Radiation Protection regulations 1982 by the licensee responsible for the materials.  If activities greater than Column </w:t>
      </w:r>
      <w:proofErr w:type="gramStart"/>
      <w:r>
        <w:rPr>
          <w:rFonts w:ascii="Garamond" w:hAnsi="Garamond"/>
          <w:sz w:val="24"/>
        </w:rPr>
        <w:t>A</w:t>
      </w:r>
      <w:proofErr w:type="gramEnd"/>
      <w:r>
        <w:rPr>
          <w:rFonts w:ascii="Garamond" w:hAnsi="Garamond"/>
          <w:sz w:val="24"/>
        </w:rPr>
        <w:t xml:space="preserve"> are handled frequently, particularly in a busy laboratory, then the licensee should consider declaring the laboratory a Controlled Area. </w:t>
      </w:r>
    </w:p>
    <w:p w:rsidR="00466D84" w:rsidRDefault="00466D84" w:rsidP="00F03B6A">
      <w:pPr>
        <w:numPr>
          <w:ilvl w:val="0"/>
          <w:numId w:val="30"/>
        </w:numPr>
        <w:rPr>
          <w:rFonts w:ascii="Garamond" w:hAnsi="Garamond"/>
          <w:sz w:val="24"/>
        </w:rPr>
      </w:pPr>
      <w:r>
        <w:rPr>
          <w:rFonts w:ascii="Garamond" w:hAnsi="Garamond"/>
          <w:sz w:val="24"/>
        </w:rPr>
        <w:t>The entrance to a Controlled Area shall display a warning sign indicating that entry is prohibited without the permission of the licensee.  The sign needs to comply with Section 5 of the second schedule to the Radiation Protection Regulations 1982.</w:t>
      </w:r>
    </w:p>
    <w:p w:rsidR="00466D84" w:rsidRDefault="00466D84" w:rsidP="00F03B6A">
      <w:pPr>
        <w:numPr>
          <w:ilvl w:val="0"/>
          <w:numId w:val="30"/>
        </w:numPr>
        <w:rPr>
          <w:rFonts w:ascii="Garamond" w:hAnsi="Garamond"/>
          <w:sz w:val="24"/>
        </w:rPr>
      </w:pPr>
      <w:r>
        <w:rPr>
          <w:rFonts w:ascii="Garamond" w:hAnsi="Garamond"/>
          <w:sz w:val="24"/>
        </w:rPr>
        <w:t>There shall be a written protocol produced by the licensee detailing under what circumstances entry is permitted, and the procedure for gaining permission.  It shall also detail any special rules that must be observed within the controlled area. It shall be readily available to anyone needing to enter the controlled area.</w:t>
      </w:r>
    </w:p>
    <w:p w:rsidR="00466D84" w:rsidRDefault="00466D84" w:rsidP="00F03B6A">
      <w:pPr>
        <w:rPr>
          <w:rFonts w:ascii="Garamond" w:hAnsi="Garamond"/>
          <w:sz w:val="24"/>
        </w:rPr>
      </w:pPr>
    </w:p>
    <w:p w:rsidR="00466D84" w:rsidRDefault="00466D84" w:rsidP="00F03B6A">
      <w:pPr>
        <w:ind w:left="720"/>
        <w:jc w:val="both"/>
        <w:rPr>
          <w:rFonts w:ascii="Garamond" w:hAnsi="Garamond"/>
          <w:sz w:val="24"/>
          <w:lang w:val="en-NZ"/>
        </w:rPr>
      </w:pPr>
    </w:p>
    <w:p w:rsidR="00466D84" w:rsidRDefault="00466D84" w:rsidP="00F03B6A">
      <w:pPr>
        <w:ind w:left="720"/>
        <w:jc w:val="both"/>
        <w:rPr>
          <w:rFonts w:ascii="Garamond" w:hAnsi="Garamond"/>
          <w:sz w:val="24"/>
          <w:lang w:val="en-NZ"/>
        </w:rPr>
      </w:pPr>
    </w:p>
    <w:p w:rsidR="00466D84" w:rsidRDefault="00466D84" w:rsidP="00F03B6A">
      <w:pPr>
        <w:ind w:left="720"/>
        <w:jc w:val="both"/>
        <w:rPr>
          <w:rFonts w:ascii="Garamond" w:hAnsi="Garamond"/>
          <w:sz w:val="24"/>
          <w:lang w:val="en-NZ"/>
        </w:rPr>
      </w:pPr>
    </w:p>
    <w:p w:rsidR="00466D84" w:rsidRDefault="00466D84">
      <w:pPr>
        <w:pStyle w:val="Heading1"/>
      </w:pPr>
      <w:bookmarkStart w:id="23" w:name="_Toc50181009"/>
      <w:bookmarkStart w:id="24" w:name="_Toc382991088"/>
      <w:r>
        <w:lastRenderedPageBreak/>
        <w:t>4. Approved Users</w:t>
      </w:r>
      <w:bookmarkEnd w:id="23"/>
      <w:bookmarkEnd w:id="24"/>
    </w:p>
    <w:p w:rsidR="00466D84" w:rsidRDefault="00466D84" w:rsidP="00F03B6A">
      <w:pPr>
        <w:pStyle w:val="Heading2"/>
      </w:pPr>
      <w:bookmarkStart w:id="25" w:name="_Toc50181010"/>
      <w:bookmarkStart w:id="26" w:name="_Toc382991089"/>
      <w:r>
        <w:t>4.1 Register</w:t>
      </w:r>
      <w:bookmarkEnd w:id="25"/>
      <w:bookmarkEnd w:id="26"/>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Approved users will be trained and approved by the licensee concerned. Records of the approved users will be maintained and accessible.  A register format is attached as appendix 1.</w:t>
      </w:r>
    </w:p>
    <w:p w:rsidR="00466D84" w:rsidRDefault="00466D84" w:rsidP="00F03B6A">
      <w:pPr>
        <w:jc w:val="both"/>
        <w:rPr>
          <w:rFonts w:ascii="Garamond" w:hAnsi="Garamond"/>
          <w:sz w:val="24"/>
          <w:lang w:val="en-NZ"/>
        </w:rPr>
      </w:pPr>
    </w:p>
    <w:p w:rsidR="00466D84" w:rsidRDefault="00466D84" w:rsidP="00F03B6A">
      <w:pPr>
        <w:pStyle w:val="Heading2"/>
      </w:pPr>
      <w:bookmarkStart w:id="27" w:name="_Toc50181011"/>
      <w:bookmarkStart w:id="28" w:name="_Toc382991090"/>
      <w:r>
        <w:t>4.2 Key Holders</w:t>
      </w:r>
      <w:bookmarkEnd w:id="27"/>
      <w:bookmarkEnd w:id="28"/>
    </w:p>
    <w:p w:rsidR="00466D84" w:rsidRDefault="00466D84" w:rsidP="00F03B6A">
      <w:pPr>
        <w:tabs>
          <w:tab w:val="num" w:pos="426"/>
        </w:tabs>
        <w:ind w:left="426" w:hanging="426"/>
        <w:jc w:val="both"/>
        <w:rPr>
          <w:rFonts w:ascii="Garamond" w:hAnsi="Garamond"/>
          <w:sz w:val="24"/>
          <w:lang w:val="en-NZ"/>
        </w:rPr>
      </w:pPr>
    </w:p>
    <w:p w:rsidR="00466D84" w:rsidRDefault="00466D84" w:rsidP="00F03B6A">
      <w:pPr>
        <w:tabs>
          <w:tab w:val="num" w:pos="426"/>
        </w:tabs>
        <w:ind w:left="426" w:hanging="426"/>
        <w:jc w:val="both"/>
        <w:rPr>
          <w:rFonts w:ascii="Garamond" w:hAnsi="Garamond"/>
          <w:sz w:val="24"/>
          <w:lang w:val="en-NZ"/>
        </w:rPr>
      </w:pPr>
      <w:r>
        <w:rPr>
          <w:rFonts w:ascii="Garamond" w:hAnsi="Garamond"/>
          <w:sz w:val="24"/>
          <w:lang w:val="en-NZ"/>
        </w:rPr>
        <w:t>The Department maintains a register of approved key holders.  A copy of the</w:t>
      </w:r>
    </w:p>
    <w:p w:rsidR="00466D84" w:rsidRDefault="00466D84" w:rsidP="00F03B6A">
      <w:pPr>
        <w:tabs>
          <w:tab w:val="num" w:pos="426"/>
        </w:tabs>
        <w:ind w:left="426" w:hanging="426"/>
        <w:jc w:val="both"/>
        <w:rPr>
          <w:rFonts w:ascii="Garamond" w:hAnsi="Garamond"/>
          <w:sz w:val="24"/>
          <w:lang w:val="en-NZ"/>
        </w:rPr>
      </w:pPr>
      <w:r>
        <w:rPr>
          <w:rFonts w:ascii="Garamond" w:hAnsi="Garamond"/>
          <w:sz w:val="24"/>
          <w:lang w:val="en-NZ"/>
        </w:rPr>
        <w:t>Register format is attached as appendix 2.</w:t>
      </w:r>
    </w:p>
    <w:p w:rsidR="00466D84" w:rsidRDefault="00466D84" w:rsidP="00F03B6A">
      <w:pPr>
        <w:tabs>
          <w:tab w:val="num" w:pos="426"/>
        </w:tabs>
        <w:ind w:left="426" w:hanging="426"/>
        <w:jc w:val="both"/>
        <w:rPr>
          <w:rFonts w:ascii="Garamond" w:hAnsi="Garamond"/>
          <w:sz w:val="24"/>
          <w:lang w:val="en-NZ"/>
        </w:rPr>
      </w:pPr>
    </w:p>
    <w:p w:rsidR="00466D84" w:rsidRDefault="00466D84">
      <w:pPr>
        <w:pStyle w:val="Heading1"/>
      </w:pPr>
      <w:bookmarkStart w:id="29" w:name="_Toc50181012"/>
      <w:bookmarkStart w:id="30" w:name="_Toc382991091"/>
      <w:r>
        <w:t>5. Records and reports</w:t>
      </w:r>
      <w:bookmarkEnd w:id="29"/>
      <w:bookmarkEnd w:id="30"/>
    </w:p>
    <w:p w:rsidR="00466D84" w:rsidRDefault="00466D84">
      <w:pPr>
        <w:ind w:left="720"/>
        <w:jc w:val="both"/>
        <w:rPr>
          <w:rFonts w:ascii="Garamond" w:hAnsi="Garamond"/>
          <w:sz w:val="24"/>
          <w:lang w:val="en-NZ"/>
        </w:rPr>
      </w:pPr>
    </w:p>
    <w:p w:rsidR="00466D84" w:rsidRDefault="00466D84" w:rsidP="00F03B6A">
      <w:pPr>
        <w:pStyle w:val="Heading2"/>
      </w:pPr>
      <w:bookmarkStart w:id="31" w:name="_Toc50181013"/>
      <w:bookmarkStart w:id="32" w:name="_Toc382991092"/>
      <w:r>
        <w:t>5.1 Records of Radioactive Materials</w:t>
      </w:r>
      <w:bookmarkEnd w:id="31"/>
      <w:bookmarkEnd w:id="32"/>
    </w:p>
    <w:p w:rsidR="00466D84" w:rsidRDefault="00466D84" w:rsidP="00F03B6A">
      <w:pPr>
        <w:jc w:val="both"/>
      </w:pPr>
    </w:p>
    <w:p w:rsidR="00466D84" w:rsidRDefault="00466D84" w:rsidP="00F03B6A">
      <w:pPr>
        <w:jc w:val="both"/>
        <w:rPr>
          <w:rFonts w:ascii="Garamond" w:hAnsi="Garamond"/>
          <w:sz w:val="24"/>
          <w:lang w:val="en-NZ"/>
        </w:rPr>
      </w:pPr>
      <w:r>
        <w:rPr>
          <w:rFonts w:ascii="Garamond" w:hAnsi="Garamond"/>
          <w:sz w:val="24"/>
          <w:lang w:val="en-NZ"/>
        </w:rPr>
        <w:t>The receipt of any shipment of radioactive material and the dispensing or disposal shall be recorded.  Information recorded shall include the date, radionuclide, activity and in the case of receipts, the importing agents.  Records shall be held for 10 years.</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An inventory shall be kept of all radioactive materials held.  This shall be maintained up to date and kept at a location remote from the storage area.  The approximate total activity of each radionuclide stored should be recorded in the inventory.  It is not necessary for each individual container to be listed.  The inventory is for use in hazard assessment in case of an emergency such as fire or earthquake.</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A radioactive materials inventory is attached as appendix 3.</w:t>
      </w:r>
    </w:p>
    <w:p w:rsidR="00466D84" w:rsidRDefault="00466D84" w:rsidP="00F03B6A">
      <w:pPr>
        <w:jc w:val="both"/>
        <w:rPr>
          <w:rFonts w:ascii="Garamond" w:hAnsi="Garamond"/>
          <w:sz w:val="24"/>
          <w:lang w:val="en-NZ"/>
        </w:rPr>
      </w:pPr>
    </w:p>
    <w:p w:rsidR="00466D84" w:rsidRDefault="00466D84" w:rsidP="00F03B6A">
      <w:pPr>
        <w:ind w:left="720"/>
        <w:jc w:val="both"/>
        <w:rPr>
          <w:rFonts w:ascii="Garamond" w:hAnsi="Garamond"/>
          <w:sz w:val="24"/>
          <w:lang w:val="en-NZ"/>
        </w:rPr>
      </w:pPr>
    </w:p>
    <w:p w:rsidR="00466D84" w:rsidRDefault="00466D84" w:rsidP="00F03B6A">
      <w:pPr>
        <w:pStyle w:val="Heading2"/>
      </w:pPr>
      <w:bookmarkStart w:id="33" w:name="_Toc50181014"/>
      <w:bookmarkStart w:id="34" w:name="_Toc382991093"/>
      <w:r>
        <w:t xml:space="preserve">5.2 Records of Transfer of Material to </w:t>
      </w:r>
      <w:proofErr w:type="gramStart"/>
      <w:r>
        <w:t>Another</w:t>
      </w:r>
      <w:proofErr w:type="gramEnd"/>
      <w:r>
        <w:t xml:space="preserve"> Licensee</w:t>
      </w:r>
      <w:bookmarkEnd w:id="33"/>
      <w:bookmarkEnd w:id="34"/>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transfer of any radioactive material from the control of one licensee to another shall be recorded.</w:t>
      </w:r>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A set of all such records shall be supplied to NRL whenever requested or otherwise annually.</w:t>
      </w:r>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Records shall be held for 10 years.  An example of a transfer record is attached as appendix 4.</w:t>
      </w: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pStyle w:val="Heading2"/>
      </w:pPr>
      <w:bookmarkStart w:id="35" w:name="_Toc50181015"/>
      <w:bookmarkStart w:id="36" w:name="_Toc382991094"/>
      <w:r>
        <w:t>5.3 Personal Monitoring</w:t>
      </w:r>
      <w:bookmarkEnd w:id="35"/>
      <w:bookmarkEnd w:id="36"/>
    </w:p>
    <w:p w:rsidR="00466D84" w:rsidRDefault="00466D84" w:rsidP="00F03B6A"/>
    <w:p w:rsidR="00466D84" w:rsidRDefault="00466D84" w:rsidP="00F03B6A"/>
    <w:p w:rsidR="00466D84" w:rsidRDefault="00466D84">
      <w:pPr>
        <w:pStyle w:val="Heading2"/>
      </w:pPr>
      <w:bookmarkStart w:id="37" w:name="_Toc50181016"/>
      <w:bookmarkStart w:id="38" w:name="_Toc382991095"/>
      <w:r>
        <w:t>Laboratory Exit Safety Surveys</w:t>
      </w:r>
      <w:bookmarkEnd w:id="37"/>
      <w:bookmarkEnd w:id="38"/>
    </w:p>
    <w:p w:rsidR="00466D84" w:rsidRDefault="00466D84">
      <w:pPr>
        <w:rPr>
          <w:rFonts w:ascii="Garamond" w:hAnsi="Garamond"/>
          <w:sz w:val="24"/>
        </w:rPr>
      </w:pPr>
    </w:p>
    <w:p w:rsidR="00466D84" w:rsidRDefault="00466D84">
      <w:pPr>
        <w:pStyle w:val="BodyText"/>
        <w:rPr>
          <w:lang w:val="en-GB"/>
        </w:rPr>
      </w:pPr>
      <w:r>
        <w:rPr>
          <w:lang w:val="en-GB"/>
        </w:rPr>
        <w:lastRenderedPageBreak/>
        <w:t>Each individual on exiting the radiation area should record safety surveys.  An example survey is attached as appendix 5.  This sheet may need modification depending on the substances in use.</w:t>
      </w:r>
    </w:p>
    <w:p w:rsidR="00466D84" w:rsidRDefault="00466D84">
      <w:pPr>
        <w:rPr>
          <w:rFonts w:ascii="Garamond" w:hAnsi="Garamond"/>
          <w:sz w:val="24"/>
        </w:rPr>
      </w:pPr>
    </w:p>
    <w:p w:rsidR="00466D84" w:rsidRDefault="00466D84">
      <w:pPr>
        <w:rPr>
          <w:rFonts w:ascii="Garamond" w:hAnsi="Garamond"/>
          <w:b/>
          <w:sz w:val="24"/>
        </w:rPr>
      </w:pPr>
      <w:r>
        <w:rPr>
          <w:rFonts w:ascii="Garamond" w:hAnsi="Garamond"/>
          <w:b/>
          <w:sz w:val="24"/>
        </w:rPr>
        <w:t>Personal Monitoring Requirements</w:t>
      </w:r>
    </w:p>
    <w:p w:rsidR="00466D84" w:rsidRDefault="00466D84">
      <w:pPr>
        <w:rPr>
          <w:rFonts w:ascii="Garamond" w:hAnsi="Garamond"/>
          <w:sz w:val="24"/>
        </w:rPr>
      </w:pPr>
    </w:p>
    <w:p w:rsidR="00466D84" w:rsidRDefault="00466D84">
      <w:pPr>
        <w:rPr>
          <w:rFonts w:ascii="Garamond" w:hAnsi="Garamond"/>
          <w:sz w:val="24"/>
        </w:rPr>
      </w:pPr>
      <w:r>
        <w:rPr>
          <w:rFonts w:ascii="Garamond" w:hAnsi="Garamond"/>
          <w:sz w:val="24"/>
        </w:rPr>
        <w:t>Some radioactive substances require individual personal monitoring, such as radiation badges or finger rings.  If on assessment of the substance in use, monitoring is indicated, contact the University Health and Safety Manager to arrange the testing requirements. Education on the type of monitoring, consent process and management of results will need to be provided to all individuals concerned.  Exception reports will be generated where the monitoring levels are high.  Further investigation may be required by the Health and Safety Team, and the Radiation Safety Officer.</w:t>
      </w:r>
    </w:p>
    <w:p w:rsidR="00466D84" w:rsidRDefault="00466D84">
      <w:pPr>
        <w:rPr>
          <w:rFonts w:ascii="Garamond" w:hAnsi="Garamond"/>
          <w:sz w:val="24"/>
        </w:rPr>
      </w:pPr>
    </w:p>
    <w:p w:rsidR="00466D84" w:rsidRDefault="00466D84">
      <w:pPr>
        <w:rPr>
          <w:rFonts w:ascii="Garamond" w:hAnsi="Garamond"/>
          <w:sz w:val="24"/>
        </w:rPr>
      </w:pPr>
      <w:r>
        <w:rPr>
          <w:rFonts w:ascii="Garamond" w:hAnsi="Garamond"/>
          <w:sz w:val="24"/>
        </w:rPr>
        <w:t>Each specific project using radiation will identify the personal monitoring requirements if applicable.</w:t>
      </w:r>
    </w:p>
    <w:p w:rsidR="00466D84" w:rsidRDefault="00466D84">
      <w:pPr>
        <w:rPr>
          <w:rFonts w:ascii="Garamond" w:hAnsi="Garamond"/>
          <w:sz w:val="24"/>
        </w:rPr>
      </w:pPr>
    </w:p>
    <w:p w:rsidR="00466D84" w:rsidRDefault="00466D84">
      <w:pPr>
        <w:rPr>
          <w:rFonts w:ascii="Garamond" w:hAnsi="Garamond"/>
          <w:sz w:val="24"/>
        </w:rPr>
      </w:pPr>
    </w:p>
    <w:p w:rsidR="00466D84" w:rsidRDefault="00466D84">
      <w:pPr>
        <w:rPr>
          <w:rFonts w:ascii="Garamond" w:hAnsi="Garamond"/>
          <w:b/>
          <w:sz w:val="24"/>
        </w:rPr>
      </w:pPr>
      <w:r>
        <w:rPr>
          <w:rFonts w:ascii="Garamond" w:hAnsi="Garamond"/>
          <w:b/>
          <w:sz w:val="24"/>
        </w:rPr>
        <w:t>Radiation Type and specific personal monitoring required:</w:t>
      </w:r>
    </w:p>
    <w:p w:rsidR="00466D84" w:rsidRDefault="00466D84">
      <w:pPr>
        <w:rPr>
          <w:rFonts w:ascii="Garamond" w:hAnsi="Garamond"/>
          <w:sz w:val="24"/>
        </w:rPr>
      </w:pPr>
      <w:r>
        <w:rPr>
          <w:rFonts w:ascii="Garamond" w:hAnsi="Garamond"/>
          <w:sz w:val="24"/>
        </w:rPr>
        <w:t xml:space="preserve">E. g.: Use of </w:t>
      </w:r>
      <w:r w:rsidRPr="002C12E2">
        <w:rPr>
          <w:rFonts w:ascii="Garamond" w:hAnsi="Garamond"/>
          <w:sz w:val="24"/>
          <w:szCs w:val="24"/>
          <w:vertAlign w:val="superscript"/>
        </w:rPr>
        <w:t>32</w:t>
      </w:r>
      <w:r w:rsidR="002C12E2">
        <w:rPr>
          <w:rFonts w:ascii="Garamond" w:hAnsi="Garamond"/>
          <w:sz w:val="24"/>
        </w:rPr>
        <w:t>P</w:t>
      </w:r>
      <w:r>
        <w:rPr>
          <w:rFonts w:ascii="Garamond" w:hAnsi="Garamond"/>
          <w:sz w:val="24"/>
        </w:rPr>
        <w:t xml:space="preserve"> for Project XXXX, licensee _______________ finger band monitoring indicated.</w:t>
      </w:r>
    </w:p>
    <w:p w:rsidR="00466D84" w:rsidRDefault="00466D84">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66D84">
        <w:tblPrEx>
          <w:tblCellMar>
            <w:top w:w="0" w:type="dxa"/>
            <w:bottom w:w="0" w:type="dxa"/>
          </w:tblCellMar>
        </w:tblPrEx>
        <w:tc>
          <w:tcPr>
            <w:tcW w:w="2130" w:type="dxa"/>
            <w:shd w:val="pct10" w:color="auto" w:fill="FFFFFF"/>
          </w:tcPr>
          <w:p w:rsidR="00466D84" w:rsidRDefault="00466D84">
            <w:pPr>
              <w:rPr>
                <w:rFonts w:ascii="Garamond" w:hAnsi="Garamond"/>
                <w:b/>
                <w:sz w:val="24"/>
              </w:rPr>
            </w:pPr>
            <w:r>
              <w:rPr>
                <w:rFonts w:ascii="Garamond" w:hAnsi="Garamond"/>
                <w:b/>
                <w:sz w:val="24"/>
              </w:rPr>
              <w:t>Name of Approved User</w:t>
            </w:r>
          </w:p>
        </w:tc>
        <w:tc>
          <w:tcPr>
            <w:tcW w:w="2130" w:type="dxa"/>
            <w:shd w:val="pct10" w:color="auto" w:fill="FFFFFF"/>
          </w:tcPr>
          <w:p w:rsidR="00466D84" w:rsidRDefault="00466D84">
            <w:pPr>
              <w:rPr>
                <w:rFonts w:ascii="Garamond" w:hAnsi="Garamond"/>
                <w:b/>
                <w:sz w:val="24"/>
              </w:rPr>
            </w:pPr>
            <w:r>
              <w:rPr>
                <w:rFonts w:ascii="Garamond" w:hAnsi="Garamond"/>
                <w:b/>
                <w:sz w:val="24"/>
              </w:rPr>
              <w:t>Date Monitoring initiated</w:t>
            </w:r>
          </w:p>
        </w:tc>
        <w:tc>
          <w:tcPr>
            <w:tcW w:w="2130" w:type="dxa"/>
            <w:shd w:val="pct10" w:color="auto" w:fill="FFFFFF"/>
          </w:tcPr>
          <w:p w:rsidR="00466D84" w:rsidRDefault="00466D84">
            <w:pPr>
              <w:rPr>
                <w:rFonts w:ascii="Garamond" w:hAnsi="Garamond"/>
                <w:b/>
                <w:sz w:val="24"/>
              </w:rPr>
            </w:pPr>
            <w:r>
              <w:rPr>
                <w:rFonts w:ascii="Garamond" w:hAnsi="Garamond"/>
                <w:b/>
                <w:sz w:val="24"/>
              </w:rPr>
              <w:t>Frequency</w:t>
            </w:r>
          </w:p>
        </w:tc>
        <w:tc>
          <w:tcPr>
            <w:tcW w:w="2130" w:type="dxa"/>
            <w:shd w:val="pct10" w:color="auto" w:fill="FFFFFF"/>
          </w:tcPr>
          <w:p w:rsidR="00466D84" w:rsidRDefault="00466D84">
            <w:pPr>
              <w:rPr>
                <w:rFonts w:ascii="Garamond" w:hAnsi="Garamond"/>
                <w:b/>
                <w:sz w:val="24"/>
              </w:rPr>
            </w:pPr>
            <w:r>
              <w:rPr>
                <w:rFonts w:ascii="Garamond" w:hAnsi="Garamond"/>
                <w:b/>
                <w:sz w:val="24"/>
              </w:rPr>
              <w:t>Results</w:t>
            </w: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r w:rsidR="00466D84">
        <w:tblPrEx>
          <w:tblCellMar>
            <w:top w:w="0" w:type="dxa"/>
            <w:bottom w:w="0" w:type="dxa"/>
          </w:tblCellMar>
        </w:tblPrEx>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c>
          <w:tcPr>
            <w:tcW w:w="2130" w:type="dxa"/>
          </w:tcPr>
          <w:p w:rsidR="00466D84" w:rsidRDefault="00466D84">
            <w:pPr>
              <w:rPr>
                <w:rFonts w:ascii="Garamond" w:hAnsi="Garamond"/>
                <w:sz w:val="24"/>
              </w:rPr>
            </w:pPr>
          </w:p>
        </w:tc>
      </w:tr>
    </w:tbl>
    <w:p w:rsidR="00466D84" w:rsidRDefault="00466D84">
      <w:pPr>
        <w:rPr>
          <w:rFonts w:ascii="Garamond" w:hAnsi="Garamond"/>
          <w:sz w:val="24"/>
        </w:rPr>
      </w:pPr>
    </w:p>
    <w:p w:rsidR="00466D84" w:rsidRDefault="00466D84">
      <w:pPr>
        <w:rPr>
          <w:rFonts w:ascii="Garamond" w:hAnsi="Garamond"/>
          <w:sz w:val="24"/>
        </w:rPr>
      </w:pPr>
    </w:p>
    <w:p w:rsidR="00466D84" w:rsidRDefault="00466D84">
      <w:pPr>
        <w:rPr>
          <w:rFonts w:ascii="Garamond" w:hAnsi="Garamond"/>
          <w:sz w:val="24"/>
        </w:rPr>
      </w:pPr>
    </w:p>
    <w:p w:rsidR="00466D84" w:rsidRDefault="00466D84">
      <w:pPr>
        <w:pStyle w:val="Heading1"/>
      </w:pPr>
      <w:bookmarkStart w:id="39" w:name="_Toc50181017"/>
      <w:bookmarkStart w:id="40" w:name="_Toc382991096"/>
      <w:r>
        <w:t>6. Storage</w:t>
      </w:r>
      <w:bookmarkEnd w:id="39"/>
      <w:bookmarkEnd w:id="40"/>
    </w:p>
    <w:p w:rsidR="00466D84" w:rsidRDefault="00466D84"/>
    <w:p w:rsidR="00466D84" w:rsidRDefault="00466D84">
      <w:pPr>
        <w:pStyle w:val="BodyText"/>
        <w:rPr>
          <w:lang w:val="en-GB"/>
        </w:rPr>
      </w:pPr>
      <w:r>
        <w:rPr>
          <w:lang w:val="en-GB"/>
        </w:rPr>
        <w:t>Specify requirements for your department – where, how and who.</w:t>
      </w:r>
    </w:p>
    <w:p w:rsidR="00466D84" w:rsidRDefault="00466D84">
      <w:pPr>
        <w:rPr>
          <w:rFonts w:ascii="Garamond" w:hAnsi="Garamond"/>
          <w:sz w:val="24"/>
        </w:rPr>
      </w:pPr>
    </w:p>
    <w:p w:rsidR="00466D84" w:rsidRDefault="00466D84" w:rsidP="00F03B6A">
      <w:pPr>
        <w:pStyle w:val="Heading2"/>
      </w:pPr>
      <w:bookmarkStart w:id="41" w:name="_Toc50181018"/>
      <w:bookmarkStart w:id="42" w:name="_Toc382991097"/>
      <w:r>
        <w:t>6.1 Security</w:t>
      </w:r>
      <w:bookmarkEnd w:id="41"/>
      <w:bookmarkEnd w:id="42"/>
    </w:p>
    <w:p w:rsidR="00466D84" w:rsidRDefault="00466D84" w:rsidP="00F03B6A"/>
    <w:p w:rsidR="00466D84" w:rsidRDefault="00466D84" w:rsidP="00F03B6A">
      <w:pPr>
        <w:jc w:val="both"/>
        <w:rPr>
          <w:rFonts w:ascii="Garamond" w:hAnsi="Garamond"/>
          <w:sz w:val="24"/>
          <w:lang w:val="en-NZ"/>
        </w:rPr>
      </w:pPr>
      <w:r>
        <w:rPr>
          <w:rFonts w:ascii="Garamond" w:hAnsi="Garamond"/>
          <w:sz w:val="24"/>
          <w:lang w:val="en-NZ"/>
        </w:rPr>
        <w:t>Radioactive materials shall be stored in a secure area to minimise risk of loss, theft, or damage by fire.  Only authorised users may access the store through the licensee.</w:t>
      </w:r>
    </w:p>
    <w:p w:rsidR="00466D84" w:rsidRDefault="00466D84" w:rsidP="00F03B6A">
      <w:pPr>
        <w:jc w:val="both"/>
        <w:rPr>
          <w:rFonts w:ascii="Garamond" w:hAnsi="Garamond"/>
          <w:sz w:val="24"/>
          <w:lang w:val="en-NZ"/>
        </w:rPr>
      </w:pPr>
    </w:p>
    <w:p w:rsidR="00466D84" w:rsidRDefault="00466D84" w:rsidP="00F03B6A">
      <w:pPr>
        <w:pStyle w:val="Heading2"/>
      </w:pPr>
      <w:bookmarkStart w:id="43" w:name="_Toc50181019"/>
      <w:bookmarkStart w:id="44" w:name="_Toc382991098"/>
      <w:r>
        <w:t>6.2 Radiation Safety</w:t>
      </w:r>
      <w:bookmarkEnd w:id="43"/>
      <w:bookmarkEnd w:id="44"/>
    </w:p>
    <w:p w:rsidR="00466D84" w:rsidRDefault="00466D84" w:rsidP="00F03B6A"/>
    <w:p w:rsidR="00466D84" w:rsidRDefault="00466D84" w:rsidP="00F03B6A">
      <w:pPr>
        <w:jc w:val="both"/>
        <w:rPr>
          <w:rFonts w:ascii="Garamond" w:hAnsi="Garamond"/>
          <w:sz w:val="24"/>
          <w:lang w:val="en-NZ"/>
        </w:rPr>
      </w:pPr>
      <w:r>
        <w:rPr>
          <w:rFonts w:ascii="Garamond" w:hAnsi="Garamond"/>
          <w:sz w:val="24"/>
          <w:lang w:val="en-NZ"/>
        </w:rPr>
        <w:lastRenderedPageBreak/>
        <w:t xml:space="preserve">The external radiation dose rate in any continuously occupied accessible area near stored radioactive material shall be </w:t>
      </w:r>
      <w:proofErr w:type="gramStart"/>
      <w:r>
        <w:rPr>
          <w:rFonts w:ascii="Garamond" w:hAnsi="Garamond"/>
          <w:sz w:val="24"/>
          <w:lang w:val="en-NZ"/>
        </w:rPr>
        <w:t>no more than 10 µSv/h</w:t>
      </w:r>
      <w:proofErr w:type="gramEnd"/>
      <w:r>
        <w:rPr>
          <w:rFonts w:ascii="Garamond" w:hAnsi="Garamond"/>
          <w:sz w:val="24"/>
          <w:lang w:val="en-NZ"/>
        </w:rPr>
        <w:t xml:space="preserve">.  If areas outside the storage room are accessible to non-radiation workers the dose rate at the wall shall be less than 0.5µSv/h.  </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Once a shipping package of radioactive material has been opened, it shall be stored in a manner designed to prevent spillage, breakage of the container or contamination of other equipment.  If gas or vapour is likely to be present, the room should be ventilated, or the material stored in a fume cupboard.</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licensee responsible shall have an inventory of all the stored radioactive material in case of an emergency or fire.</w:t>
      </w:r>
    </w:p>
    <w:p w:rsidR="00466D84" w:rsidRDefault="00466D84" w:rsidP="00F03B6A">
      <w:pPr>
        <w:rPr>
          <w:rFonts w:ascii="Garamond" w:hAnsi="Garamond"/>
          <w:sz w:val="24"/>
          <w:lang w:val="en-NZ"/>
        </w:rPr>
      </w:pPr>
    </w:p>
    <w:p w:rsidR="00466D84" w:rsidRDefault="00466D84" w:rsidP="00F03B6A">
      <w:pPr>
        <w:pStyle w:val="Heading2"/>
      </w:pPr>
      <w:bookmarkStart w:id="45" w:name="_Toc50181020"/>
      <w:bookmarkStart w:id="46" w:name="_Toc382991099"/>
      <w:r>
        <w:t>6.3 Signs</w:t>
      </w:r>
      <w:bookmarkEnd w:id="45"/>
      <w:bookmarkEnd w:id="46"/>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A prominent warning sign shall indicate any site where radioactive materials are stored.</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There shall be a label on the door of a refrigerator or freezer in which radioactive materials are stored.  No foodstuffs shall be kept in the same refrigerator or freezer.</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container in which radioactive material is stored shall be clearly labelled with the following:</w:t>
      </w:r>
    </w:p>
    <w:p w:rsidR="00466D84" w:rsidRDefault="00466D84" w:rsidP="00F03B6A">
      <w:pPr>
        <w:ind w:left="720"/>
        <w:jc w:val="both"/>
        <w:rPr>
          <w:rFonts w:ascii="Garamond" w:hAnsi="Garamond"/>
          <w:sz w:val="24"/>
          <w:lang w:val="en-NZ"/>
        </w:rPr>
      </w:pPr>
      <w:r>
        <w:rPr>
          <w:rFonts w:ascii="Garamond" w:hAnsi="Garamond"/>
          <w:sz w:val="24"/>
          <w:lang w:val="en-NZ"/>
        </w:rPr>
        <w:t>The trefoil sign;</w:t>
      </w:r>
    </w:p>
    <w:p w:rsidR="00466D84" w:rsidRDefault="00466D84" w:rsidP="00F03B6A">
      <w:pPr>
        <w:ind w:left="720"/>
        <w:jc w:val="both"/>
        <w:rPr>
          <w:rFonts w:ascii="Garamond" w:hAnsi="Garamond"/>
          <w:sz w:val="24"/>
          <w:lang w:val="en-NZ"/>
        </w:rPr>
      </w:pPr>
      <w:r>
        <w:rPr>
          <w:rFonts w:ascii="Garamond" w:hAnsi="Garamond"/>
          <w:sz w:val="24"/>
          <w:lang w:val="en-NZ"/>
        </w:rPr>
        <w:t>The name of the radionuclide;</w:t>
      </w:r>
    </w:p>
    <w:p w:rsidR="00466D84" w:rsidRDefault="00466D84" w:rsidP="00F03B6A">
      <w:pPr>
        <w:ind w:left="720"/>
        <w:jc w:val="both"/>
        <w:rPr>
          <w:rFonts w:ascii="Garamond" w:hAnsi="Garamond"/>
          <w:sz w:val="24"/>
          <w:lang w:val="en-NZ"/>
        </w:rPr>
      </w:pPr>
      <w:r>
        <w:rPr>
          <w:rFonts w:ascii="Garamond" w:hAnsi="Garamond"/>
          <w:sz w:val="24"/>
          <w:lang w:val="en-NZ"/>
        </w:rPr>
        <w:t xml:space="preserve">The </w:t>
      </w:r>
      <w:proofErr w:type="gramStart"/>
      <w:r>
        <w:rPr>
          <w:rFonts w:ascii="Garamond" w:hAnsi="Garamond"/>
          <w:sz w:val="24"/>
          <w:lang w:val="en-NZ"/>
        </w:rPr>
        <w:t>activity,</w:t>
      </w:r>
      <w:proofErr w:type="gramEnd"/>
      <w:r>
        <w:rPr>
          <w:rFonts w:ascii="Garamond" w:hAnsi="Garamond"/>
          <w:sz w:val="24"/>
          <w:lang w:val="en-NZ"/>
        </w:rPr>
        <w:t xml:space="preserve"> and the reference date for the activity;</w:t>
      </w:r>
    </w:p>
    <w:p w:rsidR="00466D84" w:rsidRDefault="00466D84" w:rsidP="00F03B6A">
      <w:pPr>
        <w:ind w:left="720"/>
        <w:jc w:val="both"/>
        <w:rPr>
          <w:rFonts w:ascii="Garamond" w:hAnsi="Garamond"/>
          <w:sz w:val="24"/>
          <w:lang w:val="en-NZ"/>
        </w:rPr>
      </w:pPr>
      <w:proofErr w:type="gramStart"/>
      <w:r>
        <w:rPr>
          <w:rFonts w:ascii="Garamond" w:hAnsi="Garamond"/>
          <w:sz w:val="24"/>
          <w:lang w:val="en-NZ"/>
        </w:rPr>
        <w:t>The name of the licensee responsible.</w:t>
      </w:r>
      <w:proofErr w:type="gramEnd"/>
    </w:p>
    <w:p w:rsidR="00466D84" w:rsidRDefault="00466D84" w:rsidP="00F03B6A">
      <w:pPr>
        <w:ind w:left="720"/>
        <w:jc w:val="both"/>
        <w:rPr>
          <w:rFonts w:ascii="Garamond" w:hAnsi="Garamond"/>
          <w:sz w:val="24"/>
          <w:lang w:val="en-NZ"/>
        </w:rPr>
      </w:pPr>
    </w:p>
    <w:p w:rsidR="00466D84" w:rsidRDefault="00466D84" w:rsidP="00F03B6A">
      <w:pPr>
        <w:pStyle w:val="BodyText2"/>
        <w:rPr>
          <w:rFonts w:ascii="Garamond" w:hAnsi="Garamond"/>
        </w:rPr>
      </w:pPr>
      <w:r>
        <w:rPr>
          <w:rFonts w:ascii="Garamond" w:hAnsi="Garamond"/>
        </w:rPr>
        <w:t>Radioactive materials stored in transport packaging labelled to comply with the IAEA Transport Regulations shall be deemed to meet this requirement, if a subsidiary label shows the name of the licensee responsible.</w:t>
      </w:r>
    </w:p>
    <w:p w:rsidR="00466D84" w:rsidRDefault="00466D84" w:rsidP="00F03B6A"/>
    <w:p w:rsidR="00466D84" w:rsidRDefault="00466D84" w:rsidP="00F03B6A"/>
    <w:p w:rsidR="00466D84" w:rsidRDefault="00466D84">
      <w:pPr>
        <w:pStyle w:val="Heading1"/>
      </w:pPr>
      <w:bookmarkStart w:id="47" w:name="_Toc50181021"/>
      <w:bookmarkStart w:id="48" w:name="_Toc382991100"/>
      <w:r>
        <w:t>7. Waste Disposal</w:t>
      </w:r>
      <w:bookmarkEnd w:id="47"/>
      <w:bookmarkEnd w:id="48"/>
    </w:p>
    <w:p w:rsidR="00466D84" w:rsidRDefault="00466D84">
      <w:pPr>
        <w:ind w:left="720"/>
        <w:jc w:val="both"/>
        <w:rPr>
          <w:rFonts w:ascii="Garamond" w:hAnsi="Garamond"/>
          <w:b/>
          <w:sz w:val="24"/>
          <w:lang w:val="en-NZ"/>
        </w:rPr>
      </w:pPr>
    </w:p>
    <w:p w:rsidR="00466D84" w:rsidRDefault="00466D84" w:rsidP="00F03B6A">
      <w:pPr>
        <w:pStyle w:val="Heading2"/>
      </w:pPr>
      <w:bookmarkStart w:id="49" w:name="_Toc50181022"/>
      <w:bookmarkStart w:id="50" w:name="_Toc382991101"/>
      <w:r>
        <w:t>7.1 General Principles</w:t>
      </w:r>
      <w:bookmarkEnd w:id="49"/>
      <w:bookmarkEnd w:id="50"/>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Radioactive material shall not be disposed of unless this is the safest practical option (in terms of risk from radiation exposure) compared to storage, selling, re-exporting etc.  The total activity and the activity concentration of radioactive waste shall be as low as can be reasonably achieved.</w:t>
      </w:r>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No package that has contained radioactive material shall be disposed of or used for other purpose unless all warning and other labels indicating that the package may have contained radioactive material have been obliterated.</w:t>
      </w:r>
    </w:p>
    <w:p w:rsidR="00466D84" w:rsidRDefault="00466D84" w:rsidP="00F03B6A">
      <w:pPr>
        <w:ind w:left="720"/>
        <w:jc w:val="both"/>
        <w:rPr>
          <w:rFonts w:ascii="Garamond" w:hAnsi="Garamond"/>
          <w:sz w:val="24"/>
          <w:lang w:val="en-NZ"/>
        </w:rPr>
      </w:pPr>
    </w:p>
    <w:p w:rsidR="00466D84" w:rsidRDefault="00466D84" w:rsidP="00F03B6A">
      <w:pPr>
        <w:pStyle w:val="Heading2"/>
      </w:pPr>
      <w:bookmarkStart w:id="51" w:name="_Toc50181023"/>
      <w:bookmarkStart w:id="52" w:name="_Toc382991102"/>
      <w:r>
        <w:t>7.2 Solid Waste</w:t>
      </w:r>
      <w:bookmarkEnd w:id="51"/>
      <w:bookmarkEnd w:id="52"/>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Short half-life waste, including contaminated disposable gloves, paper towels, syringes etc, should be stored in a safe place to allow decay to near background levels, and then discarded with other laboratory waste.</w:t>
      </w:r>
    </w:p>
    <w:p w:rsidR="00466D84" w:rsidRDefault="00466D84" w:rsidP="00F03B6A">
      <w:pPr>
        <w:ind w:left="720"/>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Other radioactive waste shall be disposed of via the University Hazardous Substances Disposal system.</w:t>
      </w:r>
    </w:p>
    <w:p w:rsidR="00466D84" w:rsidRDefault="00466D84" w:rsidP="00F03B6A">
      <w:pPr>
        <w:ind w:left="720"/>
        <w:jc w:val="both"/>
        <w:rPr>
          <w:rFonts w:ascii="Garamond" w:hAnsi="Garamond"/>
          <w:sz w:val="24"/>
          <w:lang w:val="en-NZ"/>
        </w:rPr>
      </w:pPr>
    </w:p>
    <w:p w:rsidR="00466D84" w:rsidRDefault="00466D84" w:rsidP="00F03B6A">
      <w:pPr>
        <w:pStyle w:val="Heading2"/>
      </w:pPr>
      <w:bookmarkStart w:id="53" w:name="_Toc50181024"/>
      <w:bookmarkStart w:id="54" w:name="_Toc382991103"/>
      <w:r>
        <w:t>7.3 Liquid Waste</w:t>
      </w:r>
      <w:bookmarkEnd w:id="53"/>
      <w:bookmarkEnd w:id="54"/>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Disposal of radioactive liquids shall be restricted to a sewerage system where this means a system that treats or dilutes domestic and trade sewage to an acceptable pollutant level before release to the environment.</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Radioactive liquid shall always be tipped slowly into a sink or sluice with the water running (but no so it can splash).  This practise will minimise the activity concentration in the drain in case there is a tendency for the material to bind to it.</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If the radioactive liquid has a short half-life it should be stored safely in a suitable sealed container to decay to near background level before disposal.  Because of the risk of spillage, depending on the storage and disposal facilities it may be safer to dispose of liquid radioactive waste immediately.  The licensee shall take this into consideration when deciding which practice to follow.</w:t>
      </w:r>
    </w:p>
    <w:p w:rsidR="00466D84" w:rsidRDefault="00466D84" w:rsidP="00F03B6A">
      <w:pPr>
        <w:ind w:left="720"/>
        <w:jc w:val="both"/>
        <w:rPr>
          <w:rFonts w:ascii="Garamond" w:hAnsi="Garamond"/>
          <w:sz w:val="24"/>
          <w:lang w:val="en-NZ"/>
        </w:rPr>
      </w:pPr>
    </w:p>
    <w:p w:rsidR="00466D84" w:rsidRDefault="00466D84" w:rsidP="00F03B6A">
      <w:pPr>
        <w:pStyle w:val="Heading2"/>
      </w:pPr>
      <w:bookmarkStart w:id="55" w:name="_Toc50181025"/>
      <w:bookmarkStart w:id="56" w:name="_Toc382991104"/>
      <w:r>
        <w:t>7.4 Gaseous Waste</w:t>
      </w:r>
      <w:bookmarkEnd w:id="55"/>
      <w:bookmarkEnd w:id="56"/>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Gaseous waste shall not be release to the atmosphere.</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Gaseous radioactive waste shall be disposed of via the University Hazardous Substances Disposal system.</w:t>
      </w:r>
    </w:p>
    <w:p w:rsidR="00466D84" w:rsidRDefault="00466D84" w:rsidP="00F03B6A">
      <w:pPr>
        <w:ind w:left="720"/>
        <w:jc w:val="both"/>
        <w:rPr>
          <w:rFonts w:ascii="Garamond" w:hAnsi="Garamond"/>
          <w:sz w:val="24"/>
          <w:lang w:val="en-NZ"/>
        </w:rPr>
      </w:pPr>
    </w:p>
    <w:p w:rsidR="00466D84" w:rsidRDefault="00466D84">
      <w:pPr>
        <w:pStyle w:val="Heading1"/>
      </w:pPr>
      <w:bookmarkStart w:id="57" w:name="_Toc50181026"/>
      <w:bookmarkStart w:id="58" w:name="_Toc382991105"/>
      <w:r>
        <w:t>8. Emergency Management</w:t>
      </w:r>
      <w:bookmarkEnd w:id="57"/>
      <w:bookmarkEnd w:id="58"/>
    </w:p>
    <w:p w:rsidR="00466D84" w:rsidRDefault="00466D84" w:rsidP="00F03B6A">
      <w:pPr>
        <w:pStyle w:val="Heading2"/>
      </w:pPr>
      <w:bookmarkStart w:id="59" w:name="_Toc50181027"/>
      <w:bookmarkStart w:id="60" w:name="_Toc382991106"/>
      <w:r>
        <w:t>8.1 Contact Details</w:t>
      </w:r>
      <w:bookmarkEnd w:id="59"/>
      <w:bookmarkEnd w:id="60"/>
    </w:p>
    <w:p w:rsidR="00466D84" w:rsidRDefault="00466D84" w:rsidP="00F03B6A"/>
    <w:p w:rsidR="00466D84" w:rsidRDefault="00466D84" w:rsidP="00F03B6A"/>
    <w:p w:rsidR="00466D84" w:rsidRDefault="00466D84" w:rsidP="00F03B6A">
      <w:pPr>
        <w:pStyle w:val="Heading4"/>
      </w:pPr>
      <w:r>
        <w:t>List the contacts for the department</w:t>
      </w:r>
    </w:p>
    <w:p w:rsidR="00466D84" w:rsidRDefault="00466D84" w:rsidP="00F03B6A"/>
    <w:p w:rsidR="00466D84" w:rsidRDefault="00466D84" w:rsidP="00F03B6A">
      <w:pPr>
        <w:jc w:val="both"/>
        <w:rPr>
          <w:rFonts w:ascii="Garamond" w:hAnsi="Garamond"/>
          <w:sz w:val="24"/>
          <w:lang w:val="en-NZ"/>
        </w:rPr>
      </w:pPr>
    </w:p>
    <w:p w:rsidR="00466D84" w:rsidRDefault="00466D84" w:rsidP="00F03B6A">
      <w:pPr>
        <w:pStyle w:val="Heading2"/>
      </w:pPr>
      <w:bookmarkStart w:id="61" w:name="_Toc50181028"/>
      <w:bookmarkStart w:id="62" w:name="_Toc382991107"/>
      <w:r>
        <w:t>8.2 Spillage of an unsealed source</w:t>
      </w:r>
      <w:bookmarkEnd w:id="61"/>
      <w:bookmarkEnd w:id="62"/>
    </w:p>
    <w:p w:rsidR="00466D84" w:rsidRDefault="00466D84" w:rsidP="00F03B6A"/>
    <w:p w:rsidR="00466D84" w:rsidRDefault="00466D84" w:rsidP="00F03B6A">
      <w:pPr>
        <w:rPr>
          <w:b/>
          <w:u w:val="single"/>
        </w:rPr>
      </w:pPr>
      <w:r>
        <w:rPr>
          <w:b/>
          <w:u w:val="single"/>
        </w:rPr>
        <w:t>You will need to detail to fit your department.</w:t>
      </w:r>
    </w:p>
    <w:p w:rsidR="00466D84" w:rsidRDefault="00466D84" w:rsidP="00F03B6A"/>
    <w:p w:rsidR="00466D84" w:rsidRDefault="00466D84" w:rsidP="00F03B6A">
      <w:pPr>
        <w:jc w:val="both"/>
        <w:rPr>
          <w:rFonts w:ascii="Garamond" w:hAnsi="Garamond"/>
          <w:sz w:val="24"/>
          <w:lang w:val="en-NZ"/>
        </w:rPr>
      </w:pPr>
      <w:r>
        <w:rPr>
          <w:rFonts w:ascii="Garamond" w:hAnsi="Garamond"/>
          <w:sz w:val="24"/>
          <w:lang w:val="en-NZ"/>
        </w:rPr>
        <w:t>Evacuate all uncontaminated personnel from the affected area.</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Put on protective clothing and gloves.</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Mark the area of the spill and restrict access.</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Prevent spread of the material by soaking up the bulk of liquids using absorbent towels held in tongs and placing in a plastic bag.</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Clean the area, always wiping towards the centre using a decontaminating agent if necessary.</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lastRenderedPageBreak/>
        <w:t>Monitor the area afterwards to ensure sufficient decontamination and that all contaminated articles and towels have been appropriately disposed of.</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p>
    <w:p w:rsidR="00466D84" w:rsidRDefault="00466D84" w:rsidP="00F03B6A">
      <w:pPr>
        <w:pStyle w:val="Heading2"/>
      </w:pPr>
      <w:bookmarkStart w:id="63" w:name="_Toc50181029"/>
      <w:bookmarkStart w:id="64" w:name="_Toc382991108"/>
      <w:r>
        <w:t>8.3 Personal Decontamination</w:t>
      </w:r>
      <w:bookmarkEnd w:id="63"/>
      <w:bookmarkEnd w:id="64"/>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Wash any contaminated skin areas as soon as possible with warm water, mild soap or mild chelating agent and a soft sponge, being careful not to damage the skin or spread the contamination to other areas.  Rinse we, dry with absorbent paper towels, and then monitor the site.  Repeat if necessary until no further improvement is achieved.</w:t>
      </w:r>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 xml:space="preserve">Rinse eyes, nose, mouth or any broken skin immediately with copious quantities of water to help prevent uptake of the material.  The absorption of some materials can be reduced after ingestion by taking appropriate medication </w:t>
      </w:r>
      <w:r>
        <w:rPr>
          <w:rFonts w:ascii="Garamond" w:hAnsi="Garamond"/>
          <w:b/>
          <w:sz w:val="24"/>
          <w:lang w:val="en-NZ"/>
        </w:rPr>
        <w:t>but only on medical advice</w:t>
      </w:r>
      <w:r>
        <w:rPr>
          <w:rFonts w:ascii="Garamond" w:hAnsi="Garamond"/>
          <w:sz w:val="24"/>
          <w:lang w:val="en-NZ"/>
        </w:rPr>
        <w:t>.</w:t>
      </w:r>
    </w:p>
    <w:p w:rsidR="00466D84" w:rsidRDefault="00466D84" w:rsidP="00F03B6A">
      <w:pPr>
        <w:jc w:val="both"/>
        <w:rPr>
          <w:rFonts w:ascii="Garamond" w:hAnsi="Garamond"/>
          <w:sz w:val="24"/>
          <w:lang w:val="en-NZ"/>
        </w:rPr>
      </w:pPr>
    </w:p>
    <w:p w:rsidR="00466D84" w:rsidRDefault="00466D84" w:rsidP="00F03B6A">
      <w:pPr>
        <w:pStyle w:val="Heading2"/>
      </w:pPr>
      <w:bookmarkStart w:id="65" w:name="_Toc50181030"/>
      <w:bookmarkStart w:id="66" w:name="_Toc382991109"/>
      <w:r>
        <w:t>8.4 Fire</w:t>
      </w:r>
      <w:bookmarkEnd w:id="65"/>
      <w:bookmarkEnd w:id="66"/>
    </w:p>
    <w:p w:rsidR="00466D84" w:rsidRDefault="00466D84" w:rsidP="00F03B6A">
      <w:pPr>
        <w:jc w:val="both"/>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hazard from a fire will probably be much greater than that of the radioactive material.  Therefore fire-fighting requirements shall have precedence over restrictions on entry to controlled areas.</w:t>
      </w: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pPr>
        <w:pStyle w:val="Heading1"/>
      </w:pPr>
      <w:bookmarkStart w:id="67" w:name="_Toc382991110"/>
      <w:r>
        <w:t>Appendices</w:t>
      </w:r>
      <w:bookmarkEnd w:id="67"/>
    </w:p>
    <w:p w:rsidR="00466D84" w:rsidRDefault="00466D84"/>
    <w:p w:rsidR="00466D84" w:rsidRDefault="00466D84" w:rsidP="00F03B6A">
      <w:pPr>
        <w:pStyle w:val="Heading2"/>
      </w:pPr>
      <w:bookmarkStart w:id="68" w:name="_Toc382991111"/>
      <w:r>
        <w:t>Appendix 1: Register of Approved Users</w:t>
      </w:r>
      <w:bookmarkEnd w:id="68"/>
    </w:p>
    <w:p w:rsidR="00466D84" w:rsidRDefault="00466D84" w:rsidP="00F03B6A">
      <w:pPr>
        <w:rPr>
          <w:rFonts w:ascii="Garamond" w:hAnsi="Garamond"/>
          <w:sz w:val="24"/>
          <w:lang w:val="en-NZ"/>
        </w:rPr>
      </w:pPr>
    </w:p>
    <w:p w:rsidR="00466D84" w:rsidRDefault="00466D84" w:rsidP="00F03B6A">
      <w:pPr>
        <w:jc w:val="both"/>
        <w:rPr>
          <w:rFonts w:ascii="Garamond" w:hAnsi="Garamond"/>
          <w:sz w:val="24"/>
          <w:lang w:val="en-NZ"/>
        </w:rPr>
      </w:pPr>
      <w:r>
        <w:rPr>
          <w:rFonts w:ascii="Garamond" w:hAnsi="Garamond"/>
          <w:sz w:val="24"/>
          <w:lang w:val="en-NZ"/>
        </w:rPr>
        <w:t>The following staff and Postgraduate Students have been trained by the licensees in the correct method of use for (radiation source), including safety procedures, and are approved to use the facility.</w:t>
      </w:r>
    </w:p>
    <w:p w:rsidR="00466D84" w:rsidRDefault="00466D84" w:rsidP="00F03B6A">
      <w:pPr>
        <w:jc w:val="both"/>
        <w:rPr>
          <w:rFonts w:ascii="Garamond" w:hAnsi="Garamond"/>
          <w:sz w:val="24"/>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1701"/>
        <w:gridCol w:w="1276"/>
        <w:gridCol w:w="992"/>
      </w:tblGrid>
      <w:tr w:rsidR="00466D84">
        <w:tblPrEx>
          <w:tblCellMar>
            <w:top w:w="0" w:type="dxa"/>
            <w:bottom w:w="0" w:type="dxa"/>
          </w:tblCellMar>
        </w:tblPrEx>
        <w:trPr>
          <w:cantSplit/>
        </w:trPr>
        <w:tc>
          <w:tcPr>
            <w:tcW w:w="1809" w:type="dxa"/>
          </w:tcPr>
          <w:p w:rsidR="00466D84" w:rsidRDefault="00466D84" w:rsidP="00F03B6A">
            <w:pPr>
              <w:rPr>
                <w:rFonts w:ascii="Garamond" w:hAnsi="Garamond"/>
                <w:b/>
                <w:sz w:val="24"/>
                <w:lang w:val="en-NZ"/>
              </w:rPr>
            </w:pPr>
            <w:r>
              <w:rPr>
                <w:rFonts w:ascii="Garamond" w:hAnsi="Garamond"/>
                <w:b/>
                <w:sz w:val="24"/>
                <w:lang w:val="en-NZ"/>
              </w:rPr>
              <w:t>Name</w:t>
            </w:r>
          </w:p>
        </w:tc>
        <w:tc>
          <w:tcPr>
            <w:tcW w:w="2835" w:type="dxa"/>
          </w:tcPr>
          <w:p w:rsidR="00466D84" w:rsidRDefault="00466D84" w:rsidP="00F03B6A">
            <w:pPr>
              <w:rPr>
                <w:rFonts w:ascii="Garamond" w:hAnsi="Garamond"/>
                <w:b/>
                <w:sz w:val="24"/>
                <w:lang w:val="en-NZ"/>
              </w:rPr>
            </w:pPr>
            <w:r>
              <w:rPr>
                <w:rFonts w:ascii="Garamond" w:hAnsi="Garamond"/>
                <w:b/>
                <w:sz w:val="24"/>
                <w:lang w:val="en-NZ"/>
              </w:rPr>
              <w:t>Radio isotope and Procedure</w:t>
            </w:r>
          </w:p>
        </w:tc>
        <w:tc>
          <w:tcPr>
            <w:tcW w:w="1701" w:type="dxa"/>
          </w:tcPr>
          <w:p w:rsidR="00466D84" w:rsidRDefault="00466D84" w:rsidP="00F03B6A">
            <w:pPr>
              <w:rPr>
                <w:rFonts w:ascii="Garamond" w:hAnsi="Garamond"/>
                <w:b/>
                <w:sz w:val="24"/>
                <w:lang w:val="en-NZ"/>
              </w:rPr>
            </w:pPr>
            <w:r>
              <w:rPr>
                <w:rFonts w:ascii="Garamond" w:hAnsi="Garamond"/>
                <w:b/>
                <w:sz w:val="24"/>
                <w:lang w:val="en-NZ"/>
              </w:rPr>
              <w:t>Supervised or Unsupervised</w:t>
            </w:r>
          </w:p>
        </w:tc>
        <w:tc>
          <w:tcPr>
            <w:tcW w:w="1276" w:type="dxa"/>
          </w:tcPr>
          <w:p w:rsidR="00466D84" w:rsidRDefault="00466D84" w:rsidP="00F03B6A">
            <w:pPr>
              <w:ind w:left="33" w:hanging="33"/>
              <w:rPr>
                <w:rFonts w:ascii="Garamond" w:hAnsi="Garamond"/>
                <w:b/>
                <w:sz w:val="24"/>
                <w:lang w:val="en-NZ"/>
              </w:rPr>
            </w:pPr>
            <w:r>
              <w:rPr>
                <w:rFonts w:ascii="Garamond" w:hAnsi="Garamond"/>
                <w:b/>
                <w:sz w:val="24"/>
                <w:lang w:val="en-NZ"/>
              </w:rPr>
              <w:t>Trained by</w:t>
            </w:r>
          </w:p>
        </w:tc>
        <w:tc>
          <w:tcPr>
            <w:tcW w:w="992" w:type="dxa"/>
          </w:tcPr>
          <w:p w:rsidR="00466D84" w:rsidRDefault="00466D84" w:rsidP="00F03B6A">
            <w:pPr>
              <w:rPr>
                <w:rFonts w:ascii="Garamond" w:hAnsi="Garamond"/>
                <w:b/>
                <w:sz w:val="24"/>
                <w:lang w:val="en-NZ"/>
              </w:rPr>
            </w:pPr>
            <w:r>
              <w:rPr>
                <w:rFonts w:ascii="Garamond" w:hAnsi="Garamond"/>
                <w:b/>
                <w:sz w:val="24"/>
                <w:lang w:val="en-NZ"/>
              </w:rPr>
              <w:t>Date</w:t>
            </w: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r w:rsidR="00466D84">
        <w:tblPrEx>
          <w:tblCellMar>
            <w:top w:w="0" w:type="dxa"/>
            <w:bottom w:w="0" w:type="dxa"/>
          </w:tblCellMar>
        </w:tblPrEx>
        <w:trPr>
          <w:cantSplit/>
          <w:trHeight w:val="567"/>
        </w:trPr>
        <w:tc>
          <w:tcPr>
            <w:tcW w:w="1809" w:type="dxa"/>
          </w:tcPr>
          <w:p w:rsidR="00466D84" w:rsidRDefault="00466D84" w:rsidP="00F03B6A">
            <w:pPr>
              <w:jc w:val="both"/>
              <w:rPr>
                <w:rFonts w:ascii="Garamond" w:hAnsi="Garamond"/>
                <w:sz w:val="24"/>
                <w:lang w:val="en-NZ"/>
              </w:rPr>
            </w:pPr>
          </w:p>
        </w:tc>
        <w:tc>
          <w:tcPr>
            <w:tcW w:w="2835" w:type="dxa"/>
          </w:tcPr>
          <w:p w:rsidR="00466D84" w:rsidRDefault="00466D84" w:rsidP="00F03B6A">
            <w:pPr>
              <w:jc w:val="both"/>
              <w:rPr>
                <w:rFonts w:ascii="Garamond" w:hAnsi="Garamond"/>
                <w:sz w:val="24"/>
                <w:lang w:val="en-NZ"/>
              </w:rPr>
            </w:pPr>
          </w:p>
        </w:tc>
        <w:tc>
          <w:tcPr>
            <w:tcW w:w="1701" w:type="dxa"/>
          </w:tcPr>
          <w:p w:rsidR="00466D84" w:rsidRDefault="00466D84" w:rsidP="00F03B6A">
            <w:pPr>
              <w:jc w:val="both"/>
              <w:rPr>
                <w:rFonts w:ascii="Garamond" w:hAnsi="Garamond"/>
                <w:sz w:val="24"/>
                <w:lang w:val="en-NZ"/>
              </w:rPr>
            </w:pPr>
          </w:p>
        </w:tc>
        <w:tc>
          <w:tcPr>
            <w:tcW w:w="1276" w:type="dxa"/>
          </w:tcPr>
          <w:p w:rsidR="00466D84" w:rsidRDefault="00466D84" w:rsidP="00F03B6A">
            <w:pPr>
              <w:jc w:val="both"/>
              <w:rPr>
                <w:rFonts w:ascii="Garamond" w:hAnsi="Garamond"/>
                <w:sz w:val="24"/>
                <w:lang w:val="en-NZ"/>
              </w:rPr>
            </w:pPr>
          </w:p>
        </w:tc>
        <w:tc>
          <w:tcPr>
            <w:tcW w:w="992" w:type="dxa"/>
          </w:tcPr>
          <w:p w:rsidR="00466D84" w:rsidRDefault="00466D84" w:rsidP="00F03B6A">
            <w:pPr>
              <w:jc w:val="both"/>
              <w:rPr>
                <w:rFonts w:ascii="Garamond" w:hAnsi="Garamond"/>
                <w:sz w:val="24"/>
                <w:lang w:val="en-NZ"/>
              </w:rPr>
            </w:pPr>
          </w:p>
        </w:tc>
      </w:tr>
    </w:tbl>
    <w:p w:rsidR="00466D84" w:rsidRDefault="00466D84" w:rsidP="00F03B6A">
      <w:pPr>
        <w:tabs>
          <w:tab w:val="num" w:pos="426"/>
        </w:tabs>
        <w:ind w:left="426" w:hanging="426"/>
        <w:jc w:val="both"/>
        <w:rPr>
          <w:rFonts w:ascii="Garamond" w:hAnsi="Garamond"/>
          <w:sz w:val="24"/>
          <w:lang w:val="en-NZ"/>
        </w:rPr>
      </w:pPr>
    </w:p>
    <w:p w:rsidR="00466D84" w:rsidRDefault="00466D84" w:rsidP="00F03B6A">
      <w:pPr>
        <w:pStyle w:val="Heading2"/>
      </w:pPr>
      <w:bookmarkStart w:id="69" w:name="_Toc382991112"/>
      <w:r>
        <w:t>Appendix 2: Key Holders</w:t>
      </w:r>
      <w:bookmarkEnd w:id="69"/>
      <w:r>
        <w:t xml:space="preserve"> </w:t>
      </w:r>
    </w:p>
    <w:p w:rsidR="00466D84" w:rsidRDefault="00466D84" w:rsidP="00F03B6A">
      <w:pPr>
        <w:tabs>
          <w:tab w:val="num" w:pos="426"/>
        </w:tabs>
        <w:ind w:left="426" w:hanging="426"/>
        <w:jc w:val="both"/>
        <w:rPr>
          <w:rFonts w:ascii="Garamond" w:hAnsi="Garamond"/>
          <w:sz w:val="24"/>
          <w:lang w:val="en-NZ"/>
        </w:rPr>
      </w:pPr>
    </w:p>
    <w:p w:rsidR="00466D84" w:rsidRDefault="00466D84" w:rsidP="00F03B6A">
      <w:pPr>
        <w:tabs>
          <w:tab w:val="num" w:pos="426"/>
        </w:tabs>
        <w:ind w:left="426" w:hanging="426"/>
        <w:jc w:val="both"/>
        <w:rPr>
          <w:rFonts w:ascii="Garamond" w:hAnsi="Garamond"/>
          <w:sz w:val="24"/>
          <w:lang w:val="en-NZ"/>
        </w:rPr>
      </w:pPr>
      <w:r>
        <w:rPr>
          <w:rFonts w:ascii="Garamond" w:hAnsi="Garamond"/>
          <w:sz w:val="24"/>
          <w:lang w:val="en-NZ"/>
        </w:rPr>
        <w:t>The following people have been issued keys to the Suite (via the Departmental Office)</w:t>
      </w:r>
    </w:p>
    <w:p w:rsidR="00466D84" w:rsidRDefault="00466D84" w:rsidP="00F03B6A">
      <w:pPr>
        <w:tabs>
          <w:tab w:val="num" w:pos="0"/>
        </w:tabs>
        <w:jc w:val="both"/>
        <w:rPr>
          <w:rFonts w:ascii="Garamond" w:hAnsi="Garamond"/>
          <w:sz w:val="24"/>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026"/>
        <w:gridCol w:w="4051"/>
      </w:tblGrid>
      <w:tr w:rsidR="00466D84">
        <w:tblPrEx>
          <w:tblCellMar>
            <w:top w:w="0" w:type="dxa"/>
            <w:bottom w:w="0" w:type="dxa"/>
          </w:tblCellMar>
        </w:tblPrEx>
        <w:trPr>
          <w:cantSplit/>
          <w:trHeight w:val="425"/>
        </w:trPr>
        <w:tc>
          <w:tcPr>
            <w:tcW w:w="2025" w:type="dxa"/>
            <w:shd w:val="pct5" w:color="auto" w:fill="FFFFFF"/>
          </w:tcPr>
          <w:p w:rsidR="00466D84" w:rsidRDefault="00466D84" w:rsidP="00F03B6A">
            <w:pPr>
              <w:tabs>
                <w:tab w:val="num" w:pos="426"/>
              </w:tabs>
              <w:jc w:val="both"/>
              <w:rPr>
                <w:rFonts w:ascii="Garamond" w:hAnsi="Garamond"/>
                <w:b/>
                <w:sz w:val="24"/>
                <w:lang w:val="en-NZ"/>
              </w:rPr>
            </w:pPr>
            <w:r>
              <w:rPr>
                <w:rFonts w:ascii="Garamond" w:hAnsi="Garamond"/>
                <w:b/>
                <w:sz w:val="24"/>
                <w:lang w:val="en-NZ"/>
              </w:rPr>
              <w:t>Controlled Area</w:t>
            </w:r>
          </w:p>
        </w:tc>
        <w:tc>
          <w:tcPr>
            <w:tcW w:w="2026" w:type="dxa"/>
            <w:shd w:val="pct5" w:color="auto" w:fill="FFFFFF"/>
          </w:tcPr>
          <w:p w:rsidR="00466D84" w:rsidRDefault="00466D84" w:rsidP="00F03B6A">
            <w:pPr>
              <w:tabs>
                <w:tab w:val="num" w:pos="426"/>
              </w:tabs>
              <w:jc w:val="both"/>
              <w:rPr>
                <w:rFonts w:ascii="Garamond" w:hAnsi="Garamond"/>
                <w:b/>
                <w:sz w:val="24"/>
                <w:lang w:val="en-NZ"/>
              </w:rPr>
            </w:pPr>
            <w:r>
              <w:rPr>
                <w:rFonts w:ascii="Garamond" w:hAnsi="Garamond"/>
                <w:b/>
                <w:sz w:val="24"/>
                <w:lang w:val="en-NZ"/>
              </w:rPr>
              <w:t>Name</w:t>
            </w:r>
          </w:p>
        </w:tc>
        <w:tc>
          <w:tcPr>
            <w:tcW w:w="4051" w:type="dxa"/>
            <w:shd w:val="pct5" w:color="auto" w:fill="FFFFFF"/>
          </w:tcPr>
          <w:p w:rsidR="00466D84" w:rsidRDefault="00466D84" w:rsidP="00F03B6A">
            <w:pPr>
              <w:tabs>
                <w:tab w:val="num" w:pos="426"/>
              </w:tabs>
              <w:jc w:val="both"/>
              <w:rPr>
                <w:rFonts w:ascii="Garamond" w:hAnsi="Garamond"/>
                <w:b/>
                <w:sz w:val="24"/>
                <w:lang w:val="en-NZ"/>
              </w:rPr>
            </w:pPr>
            <w:r>
              <w:rPr>
                <w:rFonts w:ascii="Garamond" w:hAnsi="Garamond"/>
                <w:b/>
                <w:sz w:val="24"/>
                <w:lang w:val="en-NZ"/>
              </w:rPr>
              <w:t>Contact information</w:t>
            </w: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r w:rsidR="00466D84">
        <w:tblPrEx>
          <w:tblCellMar>
            <w:top w:w="0" w:type="dxa"/>
            <w:bottom w:w="0" w:type="dxa"/>
          </w:tblCellMar>
        </w:tblPrEx>
        <w:trPr>
          <w:cantSplit/>
          <w:trHeight w:val="425"/>
        </w:trPr>
        <w:tc>
          <w:tcPr>
            <w:tcW w:w="2025" w:type="dxa"/>
          </w:tcPr>
          <w:p w:rsidR="00466D84" w:rsidRDefault="00466D84" w:rsidP="00F03B6A">
            <w:pPr>
              <w:tabs>
                <w:tab w:val="num" w:pos="426"/>
              </w:tabs>
              <w:spacing w:before="60" w:after="60"/>
              <w:jc w:val="both"/>
              <w:rPr>
                <w:rFonts w:ascii="Garamond" w:hAnsi="Garamond"/>
                <w:sz w:val="24"/>
                <w:lang w:val="en-NZ"/>
              </w:rPr>
            </w:pPr>
          </w:p>
        </w:tc>
        <w:tc>
          <w:tcPr>
            <w:tcW w:w="2026" w:type="dxa"/>
          </w:tcPr>
          <w:p w:rsidR="00466D84" w:rsidRDefault="00466D84" w:rsidP="00F03B6A">
            <w:pPr>
              <w:tabs>
                <w:tab w:val="num" w:pos="426"/>
              </w:tabs>
              <w:spacing w:before="60" w:after="60"/>
              <w:jc w:val="both"/>
              <w:rPr>
                <w:rFonts w:ascii="Garamond" w:hAnsi="Garamond"/>
                <w:sz w:val="24"/>
                <w:lang w:val="en-NZ"/>
              </w:rPr>
            </w:pPr>
          </w:p>
        </w:tc>
        <w:tc>
          <w:tcPr>
            <w:tcW w:w="4051" w:type="dxa"/>
          </w:tcPr>
          <w:p w:rsidR="00466D84" w:rsidRDefault="00466D84" w:rsidP="00F03B6A">
            <w:pPr>
              <w:tabs>
                <w:tab w:val="num" w:pos="426"/>
              </w:tabs>
              <w:spacing w:before="60" w:after="60"/>
              <w:jc w:val="both"/>
              <w:rPr>
                <w:rFonts w:ascii="Garamond" w:hAnsi="Garamond"/>
                <w:sz w:val="24"/>
                <w:lang w:val="en-NZ"/>
              </w:rPr>
            </w:pPr>
          </w:p>
        </w:tc>
      </w:tr>
    </w:tbl>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rPr>
          <w:rFonts w:ascii="Garamond" w:hAnsi="Garamond"/>
          <w:sz w:val="24"/>
          <w:lang w:val="en-NZ"/>
        </w:rPr>
      </w:pPr>
    </w:p>
    <w:p w:rsidR="00466D84" w:rsidRDefault="00466D84" w:rsidP="00F03B6A">
      <w:pPr>
        <w:pStyle w:val="Heading2"/>
      </w:pPr>
      <w:bookmarkStart w:id="70" w:name="_Toc382991113"/>
      <w:r>
        <w:lastRenderedPageBreak/>
        <w:t>Appendix 3: Radioactive Materials Inventory</w:t>
      </w:r>
      <w:bookmarkEnd w:id="70"/>
    </w:p>
    <w:p w:rsidR="00466D84" w:rsidRDefault="00466D84" w:rsidP="00F03B6A">
      <w:pPr>
        <w:pStyle w:val="Heading2"/>
      </w:pPr>
      <w:bookmarkStart w:id="71" w:name="_Toc382991114"/>
      <w:r>
        <w:t>Appendix 4: Transfer of Substances</w:t>
      </w:r>
      <w:bookmarkEnd w:id="71"/>
    </w:p>
    <w:p w:rsidR="00466D84" w:rsidRDefault="00466D84" w:rsidP="00F03B6A"/>
    <w:p w:rsidR="00466D84" w:rsidRDefault="00466D84" w:rsidP="00F03B6A">
      <w:pPr>
        <w:pStyle w:val="Heading3"/>
      </w:pPr>
      <w:bookmarkStart w:id="72" w:name="_Toc382991115"/>
      <w:r>
        <w:t>The transfer of any substance to another licensee must be recorded and the records held by the department with a copy for the licensees for at least 10 years.  Remember to update your inventories.</w:t>
      </w:r>
      <w:bookmarkEnd w:id="72"/>
    </w:p>
    <w:p w:rsidR="00466D84" w:rsidRDefault="00466D84" w:rsidP="00F03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55"/>
        <w:gridCol w:w="2056"/>
        <w:gridCol w:w="1559"/>
        <w:gridCol w:w="1843"/>
      </w:tblGrid>
      <w:tr w:rsidR="00466D84">
        <w:tblPrEx>
          <w:tblCellMar>
            <w:top w:w="0" w:type="dxa"/>
            <w:bottom w:w="0" w:type="dxa"/>
          </w:tblCellMar>
        </w:tblPrEx>
        <w:trPr>
          <w:cantSplit/>
        </w:trPr>
        <w:tc>
          <w:tcPr>
            <w:tcW w:w="1242" w:type="dxa"/>
            <w:shd w:val="pct10" w:color="auto" w:fill="FFFFFF"/>
          </w:tcPr>
          <w:p w:rsidR="00466D84" w:rsidRDefault="00466D84" w:rsidP="00F03B6A">
            <w:pPr>
              <w:pStyle w:val="Heading3"/>
              <w:rPr>
                <w:b/>
                <w:sz w:val="28"/>
              </w:rPr>
            </w:pPr>
            <w:bookmarkStart w:id="73" w:name="_Toc382991116"/>
            <w:r>
              <w:rPr>
                <w:b/>
                <w:sz w:val="28"/>
              </w:rPr>
              <w:t>Date</w:t>
            </w:r>
            <w:bookmarkEnd w:id="73"/>
          </w:p>
        </w:tc>
        <w:tc>
          <w:tcPr>
            <w:tcW w:w="2055" w:type="dxa"/>
            <w:shd w:val="pct10" w:color="auto" w:fill="FFFFFF"/>
          </w:tcPr>
          <w:p w:rsidR="00466D84" w:rsidRDefault="00466D84" w:rsidP="00F03B6A">
            <w:pPr>
              <w:rPr>
                <w:rFonts w:ascii="Garamond" w:hAnsi="Garamond"/>
                <w:b/>
                <w:sz w:val="28"/>
              </w:rPr>
            </w:pPr>
            <w:r>
              <w:rPr>
                <w:rFonts w:ascii="Garamond" w:hAnsi="Garamond"/>
                <w:b/>
                <w:sz w:val="28"/>
              </w:rPr>
              <w:t>Substance Transferred</w:t>
            </w:r>
          </w:p>
        </w:tc>
        <w:tc>
          <w:tcPr>
            <w:tcW w:w="2056" w:type="dxa"/>
            <w:shd w:val="pct10" w:color="auto" w:fill="FFFFFF"/>
          </w:tcPr>
          <w:p w:rsidR="00466D84" w:rsidRDefault="00466D84" w:rsidP="00F03B6A">
            <w:pPr>
              <w:pStyle w:val="Heading1"/>
              <w:rPr>
                <w:sz w:val="28"/>
              </w:rPr>
            </w:pPr>
            <w:bookmarkStart w:id="74" w:name="_Toc382991117"/>
            <w:r>
              <w:rPr>
                <w:sz w:val="28"/>
              </w:rPr>
              <w:t>Original Licensee</w:t>
            </w:r>
            <w:bookmarkEnd w:id="74"/>
          </w:p>
        </w:tc>
        <w:tc>
          <w:tcPr>
            <w:tcW w:w="1559" w:type="dxa"/>
            <w:shd w:val="pct10" w:color="auto" w:fill="FFFFFF"/>
          </w:tcPr>
          <w:p w:rsidR="00466D84" w:rsidRDefault="00466D84" w:rsidP="00F03B6A">
            <w:pPr>
              <w:rPr>
                <w:rFonts w:ascii="Garamond" w:hAnsi="Garamond"/>
                <w:b/>
                <w:sz w:val="28"/>
              </w:rPr>
            </w:pPr>
            <w:r>
              <w:rPr>
                <w:rFonts w:ascii="Garamond" w:hAnsi="Garamond"/>
                <w:b/>
                <w:sz w:val="28"/>
              </w:rPr>
              <w:t>Amount</w:t>
            </w:r>
          </w:p>
        </w:tc>
        <w:tc>
          <w:tcPr>
            <w:tcW w:w="1843" w:type="dxa"/>
            <w:shd w:val="pct10" w:color="auto" w:fill="FFFFFF"/>
          </w:tcPr>
          <w:p w:rsidR="00466D84" w:rsidRDefault="00466D84" w:rsidP="00F03B6A">
            <w:pPr>
              <w:rPr>
                <w:rFonts w:ascii="Garamond" w:hAnsi="Garamond"/>
                <w:b/>
                <w:sz w:val="28"/>
              </w:rPr>
            </w:pPr>
            <w:r>
              <w:rPr>
                <w:rFonts w:ascii="Garamond" w:hAnsi="Garamond"/>
                <w:b/>
                <w:sz w:val="28"/>
              </w:rPr>
              <w:t>Receiving Licensee</w:t>
            </w: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r w:rsidR="00466D84">
        <w:tblPrEx>
          <w:tblCellMar>
            <w:top w:w="0" w:type="dxa"/>
            <w:bottom w:w="0" w:type="dxa"/>
          </w:tblCellMar>
        </w:tblPrEx>
        <w:trPr>
          <w:cantSplit/>
        </w:trPr>
        <w:tc>
          <w:tcPr>
            <w:tcW w:w="1242" w:type="dxa"/>
          </w:tcPr>
          <w:p w:rsidR="00466D84" w:rsidRDefault="00466D84" w:rsidP="00F03B6A">
            <w:pPr>
              <w:rPr>
                <w:rFonts w:ascii="Garamond" w:hAnsi="Garamond"/>
                <w:sz w:val="28"/>
              </w:rPr>
            </w:pPr>
          </w:p>
        </w:tc>
        <w:tc>
          <w:tcPr>
            <w:tcW w:w="2055" w:type="dxa"/>
          </w:tcPr>
          <w:p w:rsidR="00466D84" w:rsidRDefault="00466D84" w:rsidP="00F03B6A">
            <w:pPr>
              <w:rPr>
                <w:rFonts w:ascii="Garamond" w:hAnsi="Garamond"/>
                <w:sz w:val="28"/>
              </w:rPr>
            </w:pPr>
          </w:p>
        </w:tc>
        <w:tc>
          <w:tcPr>
            <w:tcW w:w="2056" w:type="dxa"/>
          </w:tcPr>
          <w:p w:rsidR="00466D84" w:rsidRDefault="00466D84" w:rsidP="00F03B6A">
            <w:pPr>
              <w:rPr>
                <w:rFonts w:ascii="Garamond" w:hAnsi="Garamond"/>
                <w:sz w:val="28"/>
              </w:rPr>
            </w:pPr>
          </w:p>
        </w:tc>
        <w:tc>
          <w:tcPr>
            <w:tcW w:w="1559" w:type="dxa"/>
          </w:tcPr>
          <w:p w:rsidR="00466D84" w:rsidRDefault="00466D84" w:rsidP="00F03B6A">
            <w:pPr>
              <w:rPr>
                <w:rFonts w:ascii="Garamond" w:hAnsi="Garamond"/>
                <w:sz w:val="28"/>
              </w:rPr>
            </w:pPr>
          </w:p>
        </w:tc>
        <w:tc>
          <w:tcPr>
            <w:tcW w:w="1843" w:type="dxa"/>
          </w:tcPr>
          <w:p w:rsidR="00466D84" w:rsidRDefault="00466D84" w:rsidP="00F03B6A">
            <w:pPr>
              <w:rPr>
                <w:rFonts w:ascii="Garamond" w:hAnsi="Garamond"/>
                <w:sz w:val="28"/>
              </w:rPr>
            </w:pPr>
          </w:p>
        </w:tc>
      </w:tr>
    </w:tbl>
    <w:p w:rsidR="00466D84" w:rsidRDefault="00466D84" w:rsidP="00F03B6A">
      <w:pPr>
        <w:rPr>
          <w:rFonts w:ascii="Garamond" w:hAnsi="Garamond"/>
          <w:sz w:val="24"/>
        </w:rPr>
      </w:pPr>
    </w:p>
    <w:p w:rsidR="00466D84" w:rsidRDefault="00466D84" w:rsidP="00F03B6A">
      <w:pPr>
        <w:pStyle w:val="Heading2"/>
      </w:pPr>
      <w:bookmarkStart w:id="75" w:name="_Toc382991118"/>
      <w:r>
        <w:t>Appendix 5: Safety Surveys</w:t>
      </w:r>
      <w:bookmarkEnd w:id="75"/>
    </w:p>
    <w:p w:rsidR="00466D84" w:rsidRDefault="00466D84" w:rsidP="00F03B6A"/>
    <w:p w:rsidR="00466D84" w:rsidRDefault="00466D84" w:rsidP="00F03B6A">
      <w:pPr>
        <w:pStyle w:val="BodyText"/>
        <w:rPr>
          <w:lang w:val="en-GB"/>
        </w:rPr>
      </w:pPr>
      <w:r>
        <w:rPr>
          <w:lang w:val="en-GB"/>
        </w:rPr>
        <w:t>The safety surveys in use will depend on the substance in use.  The records of surveys must remain in the work area.</w:t>
      </w:r>
    </w:p>
    <w:p w:rsidR="00466D84" w:rsidRDefault="00466D84" w:rsidP="00F03B6A">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2840"/>
        <w:gridCol w:w="1420"/>
        <w:gridCol w:w="1420"/>
      </w:tblGrid>
      <w:tr w:rsidR="00466D84">
        <w:tblPrEx>
          <w:tblCellMar>
            <w:top w:w="0" w:type="dxa"/>
            <w:bottom w:w="0" w:type="dxa"/>
          </w:tblCellMar>
        </w:tblPrEx>
        <w:trPr>
          <w:cantSplit/>
        </w:trPr>
        <w:tc>
          <w:tcPr>
            <w:tcW w:w="8520" w:type="dxa"/>
            <w:gridSpan w:val="5"/>
          </w:tcPr>
          <w:p w:rsidR="00466D84" w:rsidRDefault="00466D84" w:rsidP="00F03B6A">
            <w:pPr>
              <w:rPr>
                <w:rFonts w:ascii="Garamond" w:hAnsi="Garamond"/>
                <w:b/>
                <w:sz w:val="24"/>
              </w:rPr>
            </w:pPr>
            <w:r>
              <w:rPr>
                <w:rFonts w:ascii="Garamond" w:hAnsi="Garamond"/>
                <w:b/>
                <w:sz w:val="24"/>
              </w:rPr>
              <w:t>Room Number and location:</w:t>
            </w:r>
          </w:p>
        </w:tc>
      </w:tr>
      <w:tr w:rsidR="00466D84">
        <w:tblPrEx>
          <w:tblCellMar>
            <w:top w:w="0" w:type="dxa"/>
            <w:bottom w:w="0" w:type="dxa"/>
          </w:tblCellMar>
        </w:tblPrEx>
        <w:trPr>
          <w:cantSplit/>
        </w:trPr>
        <w:tc>
          <w:tcPr>
            <w:tcW w:w="8520" w:type="dxa"/>
            <w:gridSpan w:val="5"/>
          </w:tcPr>
          <w:p w:rsidR="00466D84" w:rsidRDefault="00466D84" w:rsidP="00F03B6A">
            <w:pPr>
              <w:rPr>
                <w:rFonts w:ascii="Garamond" w:hAnsi="Garamond"/>
                <w:b/>
                <w:sz w:val="24"/>
              </w:rPr>
            </w:pPr>
            <w:r>
              <w:rPr>
                <w:rFonts w:ascii="Garamond" w:hAnsi="Garamond"/>
                <w:b/>
                <w:sz w:val="24"/>
              </w:rPr>
              <w:t>Substance in use:</w:t>
            </w:r>
          </w:p>
        </w:tc>
      </w:tr>
      <w:tr w:rsidR="00466D84">
        <w:tblPrEx>
          <w:tblCellMar>
            <w:top w:w="0" w:type="dxa"/>
            <w:bottom w:w="0" w:type="dxa"/>
          </w:tblCellMar>
        </w:tblPrEx>
        <w:trPr>
          <w:cantSplit/>
        </w:trPr>
        <w:tc>
          <w:tcPr>
            <w:tcW w:w="8520" w:type="dxa"/>
            <w:gridSpan w:val="5"/>
          </w:tcPr>
          <w:p w:rsidR="00466D84" w:rsidRDefault="00466D84" w:rsidP="00F03B6A">
            <w:pPr>
              <w:rPr>
                <w:rFonts w:ascii="Garamond" w:hAnsi="Garamond"/>
                <w:b/>
                <w:sz w:val="24"/>
              </w:rPr>
            </w:pPr>
            <w:r>
              <w:rPr>
                <w:rFonts w:ascii="Garamond" w:hAnsi="Garamond"/>
                <w:b/>
                <w:sz w:val="24"/>
              </w:rPr>
              <w:t>Principle Licensee and Contact:</w:t>
            </w:r>
          </w:p>
        </w:tc>
      </w:tr>
      <w:tr w:rsidR="00466D84">
        <w:tblPrEx>
          <w:tblCellMar>
            <w:top w:w="0" w:type="dxa"/>
            <w:bottom w:w="0" w:type="dxa"/>
          </w:tblCellMar>
        </w:tblPrEx>
        <w:trPr>
          <w:cantSplit/>
        </w:trPr>
        <w:tc>
          <w:tcPr>
            <w:tcW w:w="8520" w:type="dxa"/>
            <w:gridSpan w:val="5"/>
          </w:tcPr>
          <w:p w:rsidR="00466D84" w:rsidRDefault="00466D84" w:rsidP="00F03B6A">
            <w:pPr>
              <w:rPr>
                <w:rFonts w:ascii="Garamond" w:hAnsi="Garamond"/>
                <w:b/>
                <w:sz w:val="24"/>
              </w:rPr>
            </w:pPr>
            <w:r>
              <w:rPr>
                <w:rFonts w:ascii="Garamond" w:hAnsi="Garamond"/>
                <w:b/>
                <w:sz w:val="24"/>
              </w:rPr>
              <w:t>Nature of Survey required:</w:t>
            </w:r>
          </w:p>
        </w:tc>
      </w:tr>
      <w:tr w:rsidR="00466D84">
        <w:tblPrEx>
          <w:tblCellMar>
            <w:top w:w="0" w:type="dxa"/>
            <w:bottom w:w="0" w:type="dxa"/>
          </w:tblCellMar>
        </w:tblPrEx>
        <w:trPr>
          <w:cantSplit/>
        </w:trPr>
        <w:tc>
          <w:tcPr>
            <w:tcW w:w="8520" w:type="dxa"/>
            <w:gridSpan w:val="5"/>
          </w:tcPr>
          <w:p w:rsidR="00466D84" w:rsidRDefault="00466D84" w:rsidP="00F03B6A">
            <w:pPr>
              <w:rPr>
                <w:rFonts w:ascii="Garamond" w:hAnsi="Garamond"/>
                <w:b/>
                <w:sz w:val="24"/>
              </w:rPr>
            </w:pPr>
          </w:p>
        </w:tc>
      </w:tr>
      <w:tr w:rsidR="00466D84">
        <w:tblPrEx>
          <w:tblCellMar>
            <w:top w:w="0" w:type="dxa"/>
            <w:bottom w:w="0" w:type="dxa"/>
          </w:tblCellMar>
        </w:tblPrEx>
        <w:trPr>
          <w:cantSplit/>
        </w:trPr>
        <w:tc>
          <w:tcPr>
            <w:tcW w:w="8520" w:type="dxa"/>
            <w:gridSpan w:val="5"/>
            <w:tcBorders>
              <w:bottom w:val="nil"/>
            </w:tcBorders>
          </w:tcPr>
          <w:p w:rsidR="00466D84" w:rsidRDefault="00466D84" w:rsidP="00F03B6A">
            <w:pPr>
              <w:rPr>
                <w:rFonts w:ascii="Garamond" w:hAnsi="Garamond"/>
                <w:b/>
                <w:sz w:val="24"/>
              </w:rPr>
            </w:pPr>
          </w:p>
        </w:tc>
      </w:tr>
      <w:tr w:rsidR="00466D84">
        <w:tblPrEx>
          <w:tblCellMar>
            <w:top w:w="0" w:type="dxa"/>
            <w:bottom w:w="0" w:type="dxa"/>
          </w:tblCellMar>
        </w:tblPrEx>
        <w:trPr>
          <w:cantSplit/>
        </w:trPr>
        <w:tc>
          <w:tcPr>
            <w:tcW w:w="1420" w:type="dxa"/>
            <w:shd w:val="pct10" w:color="auto" w:fill="FFFFFF"/>
          </w:tcPr>
          <w:p w:rsidR="00466D84" w:rsidRDefault="00466D84" w:rsidP="00F03B6A">
            <w:pPr>
              <w:rPr>
                <w:rFonts w:ascii="Garamond" w:hAnsi="Garamond"/>
                <w:b/>
                <w:sz w:val="24"/>
              </w:rPr>
            </w:pPr>
            <w:r>
              <w:rPr>
                <w:rFonts w:ascii="Garamond" w:hAnsi="Garamond"/>
                <w:b/>
                <w:sz w:val="24"/>
              </w:rPr>
              <w:t>Date</w:t>
            </w:r>
          </w:p>
        </w:tc>
        <w:tc>
          <w:tcPr>
            <w:tcW w:w="1420" w:type="dxa"/>
            <w:shd w:val="pct10" w:color="auto" w:fill="FFFFFF"/>
          </w:tcPr>
          <w:p w:rsidR="00466D84" w:rsidRDefault="00466D84" w:rsidP="00F03B6A">
            <w:pPr>
              <w:rPr>
                <w:rFonts w:ascii="Garamond" w:hAnsi="Garamond"/>
                <w:b/>
                <w:sz w:val="24"/>
              </w:rPr>
            </w:pPr>
            <w:r>
              <w:rPr>
                <w:rFonts w:ascii="Garamond" w:hAnsi="Garamond"/>
                <w:b/>
                <w:sz w:val="24"/>
              </w:rPr>
              <w:t>Name</w:t>
            </w:r>
          </w:p>
        </w:tc>
        <w:tc>
          <w:tcPr>
            <w:tcW w:w="2840" w:type="dxa"/>
            <w:shd w:val="pct10" w:color="auto" w:fill="FFFFFF"/>
          </w:tcPr>
          <w:p w:rsidR="00466D84" w:rsidRDefault="00466D84" w:rsidP="00F03B6A">
            <w:pPr>
              <w:rPr>
                <w:rFonts w:ascii="Garamond" w:hAnsi="Garamond"/>
                <w:b/>
                <w:sz w:val="24"/>
              </w:rPr>
            </w:pPr>
            <w:r>
              <w:rPr>
                <w:rFonts w:ascii="Garamond" w:hAnsi="Garamond"/>
                <w:b/>
                <w:sz w:val="24"/>
              </w:rPr>
              <w:t>Survey</w:t>
            </w:r>
          </w:p>
        </w:tc>
        <w:tc>
          <w:tcPr>
            <w:tcW w:w="1420" w:type="dxa"/>
            <w:shd w:val="pct10" w:color="auto" w:fill="FFFFFF"/>
          </w:tcPr>
          <w:p w:rsidR="00466D84" w:rsidRDefault="00466D84" w:rsidP="00F03B6A">
            <w:pPr>
              <w:rPr>
                <w:rFonts w:ascii="Garamond" w:hAnsi="Garamond"/>
                <w:b/>
                <w:sz w:val="24"/>
              </w:rPr>
            </w:pPr>
            <w:r>
              <w:rPr>
                <w:rFonts w:ascii="Garamond" w:hAnsi="Garamond"/>
                <w:b/>
                <w:sz w:val="24"/>
              </w:rPr>
              <w:t>OK</w:t>
            </w:r>
          </w:p>
        </w:tc>
        <w:tc>
          <w:tcPr>
            <w:tcW w:w="1420" w:type="dxa"/>
            <w:shd w:val="pct10" w:color="auto" w:fill="FFFFFF"/>
          </w:tcPr>
          <w:p w:rsidR="00466D84" w:rsidRDefault="00466D84" w:rsidP="00F03B6A">
            <w:pPr>
              <w:rPr>
                <w:rFonts w:ascii="Garamond" w:hAnsi="Garamond"/>
                <w:b/>
                <w:sz w:val="24"/>
              </w:rPr>
            </w:pPr>
            <w:r>
              <w:rPr>
                <w:rFonts w:ascii="Garamond" w:hAnsi="Garamond"/>
                <w:b/>
                <w:sz w:val="24"/>
              </w:rPr>
              <w:t>Signature</w:t>
            </w: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r w:rsidR="00466D84">
        <w:tblPrEx>
          <w:tblCellMar>
            <w:top w:w="0" w:type="dxa"/>
            <w:bottom w:w="0" w:type="dxa"/>
          </w:tblCellMar>
        </w:tblPrEx>
        <w:trPr>
          <w:cantSplit/>
        </w:trPr>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284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c>
          <w:tcPr>
            <w:tcW w:w="1420" w:type="dxa"/>
          </w:tcPr>
          <w:p w:rsidR="00466D84" w:rsidRDefault="00466D84" w:rsidP="00F03B6A">
            <w:pPr>
              <w:rPr>
                <w:rFonts w:ascii="Garamond" w:hAnsi="Garamond"/>
                <w:sz w:val="24"/>
              </w:rPr>
            </w:pPr>
          </w:p>
        </w:tc>
      </w:tr>
    </w:tbl>
    <w:p w:rsidR="00466D84" w:rsidRDefault="00466D84" w:rsidP="00F03B6A">
      <w:pPr>
        <w:rPr>
          <w:rFonts w:ascii="Garamond" w:hAnsi="Garamond"/>
          <w:sz w:val="24"/>
        </w:rPr>
      </w:pPr>
    </w:p>
    <w:sectPr w:rsidR="00466D84" w:rsidSect="00752AB8">
      <w:pgSz w:w="11906" w:h="16838"/>
      <w:pgMar w:top="1247"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9A3"/>
    <w:multiLevelType w:val="multilevel"/>
    <w:tmpl w:val="74C052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7F537A"/>
    <w:multiLevelType w:val="multilevel"/>
    <w:tmpl w:val="768428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D9550B"/>
    <w:multiLevelType w:val="multilevel"/>
    <w:tmpl w:val="E08268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144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0D84567"/>
    <w:multiLevelType w:val="multilevel"/>
    <w:tmpl w:val="7478AD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E635BC"/>
    <w:multiLevelType w:val="multilevel"/>
    <w:tmpl w:val="69FEB1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CEE7156"/>
    <w:multiLevelType w:val="singleLevel"/>
    <w:tmpl w:val="08090017"/>
    <w:lvl w:ilvl="0">
      <w:start w:val="1"/>
      <w:numFmt w:val="lowerLetter"/>
      <w:lvlText w:val="%1)"/>
      <w:lvlJc w:val="left"/>
      <w:pPr>
        <w:tabs>
          <w:tab w:val="num" w:pos="360"/>
        </w:tabs>
        <w:ind w:left="360" w:hanging="360"/>
      </w:pPr>
    </w:lvl>
  </w:abstractNum>
  <w:abstractNum w:abstractNumId="7">
    <w:nsid w:val="2D304FF3"/>
    <w:multiLevelType w:val="multilevel"/>
    <w:tmpl w:val="4F4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D3F08A6"/>
    <w:multiLevelType w:val="multilevel"/>
    <w:tmpl w:val="CD2CC7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0F26ED9"/>
    <w:multiLevelType w:val="multilevel"/>
    <w:tmpl w:val="768428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780B21"/>
    <w:multiLevelType w:val="multilevel"/>
    <w:tmpl w:val="61985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AB73262"/>
    <w:multiLevelType w:val="multilevel"/>
    <w:tmpl w:val="4F4ECC26"/>
    <w:lvl w:ilvl="0">
      <w:start w:val="1"/>
      <w:numFmt w:val="bullet"/>
      <w:lvlText w:val="-"/>
      <w:lvlJc w:val="left"/>
      <w:pPr>
        <w:tabs>
          <w:tab w:val="num" w:pos="930"/>
        </w:tabs>
        <w:ind w:left="93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BC52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A57C5F"/>
    <w:multiLevelType w:val="multilevel"/>
    <w:tmpl w:val="E08268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8F0D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4227E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82D1E18"/>
    <w:multiLevelType w:val="multilevel"/>
    <w:tmpl w:val="501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9EE64C0"/>
    <w:multiLevelType w:val="singleLevel"/>
    <w:tmpl w:val="08090017"/>
    <w:lvl w:ilvl="0">
      <w:start w:val="1"/>
      <w:numFmt w:val="lowerLetter"/>
      <w:lvlText w:val="%1)"/>
      <w:lvlJc w:val="left"/>
      <w:pPr>
        <w:tabs>
          <w:tab w:val="num" w:pos="360"/>
        </w:tabs>
        <w:ind w:left="360" w:hanging="360"/>
      </w:pPr>
    </w:lvl>
  </w:abstractNum>
  <w:abstractNum w:abstractNumId="18">
    <w:nsid w:val="4ED87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3426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461535F"/>
    <w:multiLevelType w:val="multilevel"/>
    <w:tmpl w:val="8C2AB050"/>
    <w:lvl w:ilvl="0">
      <w:start w:val="1"/>
      <w:numFmt w:val="decimal"/>
      <w:lvlText w:val="%1."/>
      <w:lvlJc w:val="left"/>
      <w:pPr>
        <w:tabs>
          <w:tab w:val="num" w:pos="792"/>
        </w:tabs>
        <w:ind w:left="792" w:hanging="432"/>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D30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1942C3"/>
    <w:multiLevelType w:val="singleLevel"/>
    <w:tmpl w:val="08090017"/>
    <w:lvl w:ilvl="0">
      <w:start w:val="1"/>
      <w:numFmt w:val="lowerLetter"/>
      <w:lvlText w:val="%1)"/>
      <w:lvlJc w:val="left"/>
      <w:pPr>
        <w:tabs>
          <w:tab w:val="num" w:pos="360"/>
        </w:tabs>
        <w:ind w:left="360" w:hanging="360"/>
      </w:pPr>
    </w:lvl>
  </w:abstractNum>
  <w:abstractNum w:abstractNumId="23">
    <w:nsid w:val="5B970A4E"/>
    <w:multiLevelType w:val="multilevel"/>
    <w:tmpl w:val="05943B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564"/>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4">
    <w:nsid w:val="63562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3B97640"/>
    <w:multiLevelType w:val="multilevel"/>
    <w:tmpl w:val="96523A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F07267"/>
    <w:multiLevelType w:val="multilevel"/>
    <w:tmpl w:val="2FD0CC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A7C639E"/>
    <w:multiLevelType w:val="multilevel"/>
    <w:tmpl w:val="C688C3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6"/>
        </w:tabs>
        <w:ind w:left="996" w:hanging="6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12A26A7"/>
    <w:multiLevelType w:val="multilevel"/>
    <w:tmpl w:val="38B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5D1D4C"/>
    <w:multiLevelType w:val="multilevel"/>
    <w:tmpl w:val="E08268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35A1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45A79DC"/>
    <w:multiLevelType w:val="multilevel"/>
    <w:tmpl w:val="853845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B000493"/>
    <w:multiLevelType w:val="multilevel"/>
    <w:tmpl w:val="3AA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D851F4D"/>
    <w:multiLevelType w:val="multilevel"/>
    <w:tmpl w:val="EA0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0"/>
  </w:num>
  <w:num w:numId="4">
    <w:abstractNumId w:val="4"/>
  </w:num>
  <w:num w:numId="5">
    <w:abstractNumId w:val="8"/>
  </w:num>
  <w:num w:numId="6">
    <w:abstractNumId w:val="5"/>
  </w:num>
  <w:num w:numId="7">
    <w:abstractNumId w:val="16"/>
  </w:num>
  <w:num w:numId="8">
    <w:abstractNumId w:val="33"/>
  </w:num>
  <w:num w:numId="9">
    <w:abstractNumId w:val="31"/>
  </w:num>
  <w:num w:numId="10">
    <w:abstractNumId w:val="25"/>
  </w:num>
  <w:num w:numId="11">
    <w:abstractNumId w:val="10"/>
  </w:num>
  <w:num w:numId="12">
    <w:abstractNumId w:val="27"/>
  </w:num>
  <w:num w:numId="13">
    <w:abstractNumId w:val="1"/>
  </w:num>
  <w:num w:numId="14">
    <w:abstractNumId w:val="9"/>
  </w:num>
  <w:num w:numId="15">
    <w:abstractNumId w:val="23"/>
  </w:num>
  <w:num w:numId="16">
    <w:abstractNumId w:val="20"/>
  </w:num>
  <w:num w:numId="17">
    <w:abstractNumId w:val="11"/>
  </w:num>
  <w:num w:numId="18">
    <w:abstractNumId w:val="7"/>
  </w:num>
  <w:num w:numId="19">
    <w:abstractNumId w:val="24"/>
  </w:num>
  <w:num w:numId="20">
    <w:abstractNumId w:val="21"/>
  </w:num>
  <w:num w:numId="21">
    <w:abstractNumId w:val="12"/>
  </w:num>
  <w:num w:numId="22">
    <w:abstractNumId w:val="19"/>
  </w:num>
  <w:num w:numId="23">
    <w:abstractNumId w:val="3"/>
  </w:num>
  <w:num w:numId="24">
    <w:abstractNumId w:val="14"/>
  </w:num>
  <w:num w:numId="25">
    <w:abstractNumId w:val="15"/>
  </w:num>
  <w:num w:numId="26">
    <w:abstractNumId w:val="6"/>
  </w:num>
  <w:num w:numId="27">
    <w:abstractNumId w:val="17"/>
  </w:num>
  <w:num w:numId="28">
    <w:abstractNumId w:val="22"/>
  </w:num>
  <w:num w:numId="29">
    <w:abstractNumId w:val="30"/>
  </w:num>
  <w:num w:numId="30">
    <w:abstractNumId w:val="18"/>
  </w:num>
  <w:num w:numId="31">
    <w:abstractNumId w:val="26"/>
  </w:num>
  <w:num w:numId="32">
    <w:abstractNumId w:val="29"/>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E2"/>
    <w:rsid w:val="002C12E2"/>
    <w:rsid w:val="00335E20"/>
    <w:rsid w:val="00466D84"/>
    <w:rsid w:val="004A21BD"/>
    <w:rsid w:val="004B1672"/>
    <w:rsid w:val="004C24C7"/>
    <w:rsid w:val="00752AB8"/>
    <w:rsid w:val="008521EE"/>
    <w:rsid w:val="00873CA1"/>
    <w:rsid w:val="009B6C09"/>
    <w:rsid w:val="009F1152"/>
    <w:rsid w:val="00A4585C"/>
    <w:rsid w:val="00BA0794"/>
    <w:rsid w:val="00C03E62"/>
    <w:rsid w:val="00ED07A2"/>
    <w:rsid w:val="00F03B6A"/>
    <w:rsid w:val="00FD6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873CA1"/>
    <w:pPr>
      <w:keepNext/>
      <w:jc w:val="both"/>
      <w:outlineLvl w:val="0"/>
    </w:pPr>
    <w:rPr>
      <w:b/>
      <w:sz w:val="40"/>
      <w:lang w:val="en-NZ"/>
    </w:rPr>
  </w:style>
  <w:style w:type="paragraph" w:styleId="Heading2">
    <w:name w:val="heading 2"/>
    <w:basedOn w:val="Normal"/>
    <w:next w:val="Normal"/>
    <w:qFormat/>
    <w:rsid w:val="00873CA1"/>
    <w:pPr>
      <w:keepNext/>
      <w:outlineLvl w:val="1"/>
    </w:pPr>
    <w:rPr>
      <w:rFonts w:ascii="Garamond" w:hAnsi="Garamond"/>
      <w:b/>
      <w:sz w:val="36"/>
    </w:rPr>
  </w:style>
  <w:style w:type="paragraph" w:styleId="Heading3">
    <w:name w:val="heading 3"/>
    <w:basedOn w:val="Normal"/>
    <w:next w:val="Normal"/>
    <w:qFormat/>
    <w:rsid w:val="004C24C7"/>
    <w:pPr>
      <w:keepNext/>
      <w:jc w:val="both"/>
      <w:outlineLvl w:val="2"/>
    </w:pPr>
    <w:rPr>
      <w:sz w:val="36"/>
      <w:lang w:val="en-NZ"/>
    </w:rPr>
  </w:style>
  <w:style w:type="paragraph" w:styleId="Heading4">
    <w:name w:val="heading 4"/>
    <w:basedOn w:val="Normal"/>
    <w:next w:val="Normal"/>
    <w:qFormat/>
    <w:pPr>
      <w:keepNext/>
      <w:outlineLvl w:val="3"/>
    </w:pPr>
    <w:rPr>
      <w:rFonts w:ascii="Garamond" w:hAnsi="Garamond"/>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b/>
      <w:sz w:val="24"/>
      <w:lang w:val="en-NZ"/>
    </w:rPr>
  </w:style>
  <w:style w:type="paragraph" w:styleId="Heading7">
    <w:name w:val="heading 7"/>
    <w:basedOn w:val="Normal"/>
    <w:next w:val="Normal"/>
    <w:qFormat/>
    <w:pPr>
      <w:keepNext/>
      <w:ind w:left="720"/>
      <w:jc w:val="both"/>
      <w:outlineLvl w:val="6"/>
    </w:pPr>
    <w:rPr>
      <w:b/>
      <w:sz w:val="24"/>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sz w:val="24"/>
      <w:lang w:val="en-NZ"/>
    </w:rPr>
  </w:style>
  <w:style w:type="paragraph" w:styleId="TOC1">
    <w:name w:val="toc 1"/>
    <w:basedOn w:val="Normal"/>
    <w:next w:val="Normal"/>
    <w:autoRedefine/>
    <w:uiPriority w:val="39"/>
    <w:pPr>
      <w:spacing w:before="360" w:after="360"/>
    </w:pPr>
    <w:rPr>
      <w:b/>
      <w:caps/>
      <w:sz w:val="22"/>
      <w:u w:val="single"/>
    </w:rPr>
  </w:style>
  <w:style w:type="paragraph" w:styleId="TOC2">
    <w:name w:val="toc 2"/>
    <w:basedOn w:val="Normal"/>
    <w:next w:val="Normal"/>
    <w:autoRedefine/>
    <w:uiPriority w:val="39"/>
    <w:rPr>
      <w:b/>
      <w:smallCaps/>
      <w:sz w:val="22"/>
    </w:rPr>
  </w:style>
  <w:style w:type="paragraph" w:styleId="TOC3">
    <w:name w:val="toc 3"/>
    <w:basedOn w:val="Normal"/>
    <w:next w:val="Normal"/>
    <w:autoRedefine/>
    <w:uiPriority w:val="39"/>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BodyText">
    <w:name w:val="Body Text"/>
    <w:basedOn w:val="Normal"/>
    <w:rPr>
      <w:rFonts w:ascii="Garamond" w:hAnsi="Garamond"/>
      <w:sz w:val="24"/>
      <w:lang w:val="en-NZ"/>
    </w:rPr>
  </w:style>
  <w:style w:type="character" w:styleId="Hyperlink">
    <w:name w:val="Hyperlink"/>
    <w:uiPriority w:val="99"/>
    <w:rsid w:val="004A2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873CA1"/>
    <w:pPr>
      <w:keepNext/>
      <w:jc w:val="both"/>
      <w:outlineLvl w:val="0"/>
    </w:pPr>
    <w:rPr>
      <w:b/>
      <w:sz w:val="40"/>
      <w:lang w:val="en-NZ"/>
    </w:rPr>
  </w:style>
  <w:style w:type="paragraph" w:styleId="Heading2">
    <w:name w:val="heading 2"/>
    <w:basedOn w:val="Normal"/>
    <w:next w:val="Normal"/>
    <w:qFormat/>
    <w:rsid w:val="00873CA1"/>
    <w:pPr>
      <w:keepNext/>
      <w:outlineLvl w:val="1"/>
    </w:pPr>
    <w:rPr>
      <w:rFonts w:ascii="Garamond" w:hAnsi="Garamond"/>
      <w:b/>
      <w:sz w:val="36"/>
    </w:rPr>
  </w:style>
  <w:style w:type="paragraph" w:styleId="Heading3">
    <w:name w:val="heading 3"/>
    <w:basedOn w:val="Normal"/>
    <w:next w:val="Normal"/>
    <w:qFormat/>
    <w:rsid w:val="004C24C7"/>
    <w:pPr>
      <w:keepNext/>
      <w:jc w:val="both"/>
      <w:outlineLvl w:val="2"/>
    </w:pPr>
    <w:rPr>
      <w:sz w:val="36"/>
      <w:lang w:val="en-NZ"/>
    </w:rPr>
  </w:style>
  <w:style w:type="paragraph" w:styleId="Heading4">
    <w:name w:val="heading 4"/>
    <w:basedOn w:val="Normal"/>
    <w:next w:val="Normal"/>
    <w:qFormat/>
    <w:pPr>
      <w:keepNext/>
      <w:outlineLvl w:val="3"/>
    </w:pPr>
    <w:rPr>
      <w:rFonts w:ascii="Garamond" w:hAnsi="Garamond"/>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b/>
      <w:sz w:val="24"/>
      <w:lang w:val="en-NZ"/>
    </w:rPr>
  </w:style>
  <w:style w:type="paragraph" w:styleId="Heading7">
    <w:name w:val="heading 7"/>
    <w:basedOn w:val="Normal"/>
    <w:next w:val="Normal"/>
    <w:qFormat/>
    <w:pPr>
      <w:keepNext/>
      <w:ind w:left="720"/>
      <w:jc w:val="both"/>
      <w:outlineLvl w:val="6"/>
    </w:pPr>
    <w:rPr>
      <w:b/>
      <w:sz w:val="24"/>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sz w:val="24"/>
      <w:lang w:val="en-NZ"/>
    </w:rPr>
  </w:style>
  <w:style w:type="paragraph" w:styleId="TOC1">
    <w:name w:val="toc 1"/>
    <w:basedOn w:val="Normal"/>
    <w:next w:val="Normal"/>
    <w:autoRedefine/>
    <w:uiPriority w:val="39"/>
    <w:pPr>
      <w:spacing w:before="360" w:after="360"/>
    </w:pPr>
    <w:rPr>
      <w:b/>
      <w:caps/>
      <w:sz w:val="22"/>
      <w:u w:val="single"/>
    </w:rPr>
  </w:style>
  <w:style w:type="paragraph" w:styleId="TOC2">
    <w:name w:val="toc 2"/>
    <w:basedOn w:val="Normal"/>
    <w:next w:val="Normal"/>
    <w:autoRedefine/>
    <w:uiPriority w:val="39"/>
    <w:rPr>
      <w:b/>
      <w:smallCaps/>
      <w:sz w:val="22"/>
    </w:rPr>
  </w:style>
  <w:style w:type="paragraph" w:styleId="TOC3">
    <w:name w:val="toc 3"/>
    <w:basedOn w:val="Normal"/>
    <w:next w:val="Normal"/>
    <w:autoRedefine/>
    <w:uiPriority w:val="39"/>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BodyText">
    <w:name w:val="Body Text"/>
    <w:basedOn w:val="Normal"/>
    <w:rPr>
      <w:rFonts w:ascii="Garamond" w:hAnsi="Garamond"/>
      <w:sz w:val="24"/>
      <w:lang w:val="en-NZ"/>
    </w:rPr>
  </w:style>
  <w:style w:type="character" w:styleId="Hyperlink">
    <w:name w:val="Hyperlink"/>
    <w:uiPriority w:val="99"/>
    <w:rsid w:val="004A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2717</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University of Otago</Company>
  <LinksUpToDate>false</LinksUpToDate>
  <CharactersWithSpaces>20121</CharactersWithSpaces>
  <SharedDoc>false</SharedDoc>
  <HLinks>
    <vt:vector size="246" baseType="variant">
      <vt:variant>
        <vt:i4>1114170</vt:i4>
      </vt:variant>
      <vt:variant>
        <vt:i4>245</vt:i4>
      </vt:variant>
      <vt:variant>
        <vt:i4>0</vt:i4>
      </vt:variant>
      <vt:variant>
        <vt:i4>5</vt:i4>
      </vt:variant>
      <vt:variant>
        <vt:lpwstr/>
      </vt:variant>
      <vt:variant>
        <vt:lpwstr>_Toc119123054</vt:lpwstr>
      </vt:variant>
      <vt:variant>
        <vt:i4>1114170</vt:i4>
      </vt:variant>
      <vt:variant>
        <vt:i4>239</vt:i4>
      </vt:variant>
      <vt:variant>
        <vt:i4>0</vt:i4>
      </vt:variant>
      <vt:variant>
        <vt:i4>5</vt:i4>
      </vt:variant>
      <vt:variant>
        <vt:lpwstr/>
      </vt:variant>
      <vt:variant>
        <vt:lpwstr>_Toc119123053</vt:lpwstr>
      </vt:variant>
      <vt:variant>
        <vt:i4>1114170</vt:i4>
      </vt:variant>
      <vt:variant>
        <vt:i4>233</vt:i4>
      </vt:variant>
      <vt:variant>
        <vt:i4>0</vt:i4>
      </vt:variant>
      <vt:variant>
        <vt:i4>5</vt:i4>
      </vt:variant>
      <vt:variant>
        <vt:lpwstr/>
      </vt:variant>
      <vt:variant>
        <vt:lpwstr>_Toc119123052</vt:lpwstr>
      </vt:variant>
      <vt:variant>
        <vt:i4>1114170</vt:i4>
      </vt:variant>
      <vt:variant>
        <vt:i4>227</vt:i4>
      </vt:variant>
      <vt:variant>
        <vt:i4>0</vt:i4>
      </vt:variant>
      <vt:variant>
        <vt:i4>5</vt:i4>
      </vt:variant>
      <vt:variant>
        <vt:lpwstr/>
      </vt:variant>
      <vt:variant>
        <vt:lpwstr>_Toc119123051</vt:lpwstr>
      </vt:variant>
      <vt:variant>
        <vt:i4>1114170</vt:i4>
      </vt:variant>
      <vt:variant>
        <vt:i4>221</vt:i4>
      </vt:variant>
      <vt:variant>
        <vt:i4>0</vt:i4>
      </vt:variant>
      <vt:variant>
        <vt:i4>5</vt:i4>
      </vt:variant>
      <vt:variant>
        <vt:lpwstr/>
      </vt:variant>
      <vt:variant>
        <vt:lpwstr>_Toc119123050</vt:lpwstr>
      </vt:variant>
      <vt:variant>
        <vt:i4>1048634</vt:i4>
      </vt:variant>
      <vt:variant>
        <vt:i4>215</vt:i4>
      </vt:variant>
      <vt:variant>
        <vt:i4>0</vt:i4>
      </vt:variant>
      <vt:variant>
        <vt:i4>5</vt:i4>
      </vt:variant>
      <vt:variant>
        <vt:lpwstr/>
      </vt:variant>
      <vt:variant>
        <vt:lpwstr>_Toc119123049</vt:lpwstr>
      </vt:variant>
      <vt:variant>
        <vt:i4>1048634</vt:i4>
      </vt:variant>
      <vt:variant>
        <vt:i4>209</vt:i4>
      </vt:variant>
      <vt:variant>
        <vt:i4>0</vt:i4>
      </vt:variant>
      <vt:variant>
        <vt:i4>5</vt:i4>
      </vt:variant>
      <vt:variant>
        <vt:lpwstr/>
      </vt:variant>
      <vt:variant>
        <vt:lpwstr>_Toc119123048</vt:lpwstr>
      </vt:variant>
      <vt:variant>
        <vt:i4>1048634</vt:i4>
      </vt:variant>
      <vt:variant>
        <vt:i4>203</vt:i4>
      </vt:variant>
      <vt:variant>
        <vt:i4>0</vt:i4>
      </vt:variant>
      <vt:variant>
        <vt:i4>5</vt:i4>
      </vt:variant>
      <vt:variant>
        <vt:lpwstr/>
      </vt:variant>
      <vt:variant>
        <vt:lpwstr>_Toc119123047</vt:lpwstr>
      </vt:variant>
      <vt:variant>
        <vt:i4>1048634</vt:i4>
      </vt:variant>
      <vt:variant>
        <vt:i4>197</vt:i4>
      </vt:variant>
      <vt:variant>
        <vt:i4>0</vt:i4>
      </vt:variant>
      <vt:variant>
        <vt:i4>5</vt:i4>
      </vt:variant>
      <vt:variant>
        <vt:lpwstr/>
      </vt:variant>
      <vt:variant>
        <vt:lpwstr>_Toc119123046</vt:lpwstr>
      </vt:variant>
      <vt:variant>
        <vt:i4>1048634</vt:i4>
      </vt:variant>
      <vt:variant>
        <vt:i4>191</vt:i4>
      </vt:variant>
      <vt:variant>
        <vt:i4>0</vt:i4>
      </vt:variant>
      <vt:variant>
        <vt:i4>5</vt:i4>
      </vt:variant>
      <vt:variant>
        <vt:lpwstr/>
      </vt:variant>
      <vt:variant>
        <vt:lpwstr>_Toc119123045</vt:lpwstr>
      </vt:variant>
      <vt:variant>
        <vt:i4>1048634</vt:i4>
      </vt:variant>
      <vt:variant>
        <vt:i4>185</vt:i4>
      </vt:variant>
      <vt:variant>
        <vt:i4>0</vt:i4>
      </vt:variant>
      <vt:variant>
        <vt:i4>5</vt:i4>
      </vt:variant>
      <vt:variant>
        <vt:lpwstr/>
      </vt:variant>
      <vt:variant>
        <vt:lpwstr>_Toc119123044</vt:lpwstr>
      </vt:variant>
      <vt:variant>
        <vt:i4>1048634</vt:i4>
      </vt:variant>
      <vt:variant>
        <vt:i4>179</vt:i4>
      </vt:variant>
      <vt:variant>
        <vt:i4>0</vt:i4>
      </vt:variant>
      <vt:variant>
        <vt:i4>5</vt:i4>
      </vt:variant>
      <vt:variant>
        <vt:lpwstr/>
      </vt:variant>
      <vt:variant>
        <vt:lpwstr>_Toc119123043</vt:lpwstr>
      </vt:variant>
      <vt:variant>
        <vt:i4>1048634</vt:i4>
      </vt:variant>
      <vt:variant>
        <vt:i4>173</vt:i4>
      </vt:variant>
      <vt:variant>
        <vt:i4>0</vt:i4>
      </vt:variant>
      <vt:variant>
        <vt:i4>5</vt:i4>
      </vt:variant>
      <vt:variant>
        <vt:lpwstr/>
      </vt:variant>
      <vt:variant>
        <vt:lpwstr>_Toc119123042</vt:lpwstr>
      </vt:variant>
      <vt:variant>
        <vt:i4>1048634</vt:i4>
      </vt:variant>
      <vt:variant>
        <vt:i4>167</vt:i4>
      </vt:variant>
      <vt:variant>
        <vt:i4>0</vt:i4>
      </vt:variant>
      <vt:variant>
        <vt:i4>5</vt:i4>
      </vt:variant>
      <vt:variant>
        <vt:lpwstr/>
      </vt:variant>
      <vt:variant>
        <vt:lpwstr>_Toc119123041</vt:lpwstr>
      </vt:variant>
      <vt:variant>
        <vt:i4>1048634</vt:i4>
      </vt:variant>
      <vt:variant>
        <vt:i4>161</vt:i4>
      </vt:variant>
      <vt:variant>
        <vt:i4>0</vt:i4>
      </vt:variant>
      <vt:variant>
        <vt:i4>5</vt:i4>
      </vt:variant>
      <vt:variant>
        <vt:lpwstr/>
      </vt:variant>
      <vt:variant>
        <vt:lpwstr>_Toc119123040</vt:lpwstr>
      </vt:variant>
      <vt:variant>
        <vt:i4>1507386</vt:i4>
      </vt:variant>
      <vt:variant>
        <vt:i4>155</vt:i4>
      </vt:variant>
      <vt:variant>
        <vt:i4>0</vt:i4>
      </vt:variant>
      <vt:variant>
        <vt:i4>5</vt:i4>
      </vt:variant>
      <vt:variant>
        <vt:lpwstr/>
      </vt:variant>
      <vt:variant>
        <vt:lpwstr>_Toc119123039</vt:lpwstr>
      </vt:variant>
      <vt:variant>
        <vt:i4>1507386</vt:i4>
      </vt:variant>
      <vt:variant>
        <vt:i4>149</vt:i4>
      </vt:variant>
      <vt:variant>
        <vt:i4>0</vt:i4>
      </vt:variant>
      <vt:variant>
        <vt:i4>5</vt:i4>
      </vt:variant>
      <vt:variant>
        <vt:lpwstr/>
      </vt:variant>
      <vt:variant>
        <vt:lpwstr>_Toc119123038</vt:lpwstr>
      </vt:variant>
      <vt:variant>
        <vt:i4>1507386</vt:i4>
      </vt:variant>
      <vt:variant>
        <vt:i4>143</vt:i4>
      </vt:variant>
      <vt:variant>
        <vt:i4>0</vt:i4>
      </vt:variant>
      <vt:variant>
        <vt:i4>5</vt:i4>
      </vt:variant>
      <vt:variant>
        <vt:lpwstr/>
      </vt:variant>
      <vt:variant>
        <vt:lpwstr>_Toc119123037</vt:lpwstr>
      </vt:variant>
      <vt:variant>
        <vt:i4>1507386</vt:i4>
      </vt:variant>
      <vt:variant>
        <vt:i4>137</vt:i4>
      </vt:variant>
      <vt:variant>
        <vt:i4>0</vt:i4>
      </vt:variant>
      <vt:variant>
        <vt:i4>5</vt:i4>
      </vt:variant>
      <vt:variant>
        <vt:lpwstr/>
      </vt:variant>
      <vt:variant>
        <vt:lpwstr>_Toc119123036</vt:lpwstr>
      </vt:variant>
      <vt:variant>
        <vt:i4>1507386</vt:i4>
      </vt:variant>
      <vt:variant>
        <vt:i4>131</vt:i4>
      </vt:variant>
      <vt:variant>
        <vt:i4>0</vt:i4>
      </vt:variant>
      <vt:variant>
        <vt:i4>5</vt:i4>
      </vt:variant>
      <vt:variant>
        <vt:lpwstr/>
      </vt:variant>
      <vt:variant>
        <vt:lpwstr>_Toc119123035</vt:lpwstr>
      </vt:variant>
      <vt:variant>
        <vt:i4>1507386</vt:i4>
      </vt:variant>
      <vt:variant>
        <vt:i4>125</vt:i4>
      </vt:variant>
      <vt:variant>
        <vt:i4>0</vt:i4>
      </vt:variant>
      <vt:variant>
        <vt:i4>5</vt:i4>
      </vt:variant>
      <vt:variant>
        <vt:lpwstr/>
      </vt:variant>
      <vt:variant>
        <vt:lpwstr>_Toc119123034</vt:lpwstr>
      </vt:variant>
      <vt:variant>
        <vt:i4>1507386</vt:i4>
      </vt:variant>
      <vt:variant>
        <vt:i4>119</vt:i4>
      </vt:variant>
      <vt:variant>
        <vt:i4>0</vt:i4>
      </vt:variant>
      <vt:variant>
        <vt:i4>5</vt:i4>
      </vt:variant>
      <vt:variant>
        <vt:lpwstr/>
      </vt:variant>
      <vt:variant>
        <vt:lpwstr>_Toc119123033</vt:lpwstr>
      </vt:variant>
      <vt:variant>
        <vt:i4>1507386</vt:i4>
      </vt:variant>
      <vt:variant>
        <vt:i4>113</vt:i4>
      </vt:variant>
      <vt:variant>
        <vt:i4>0</vt:i4>
      </vt:variant>
      <vt:variant>
        <vt:i4>5</vt:i4>
      </vt:variant>
      <vt:variant>
        <vt:lpwstr/>
      </vt:variant>
      <vt:variant>
        <vt:lpwstr>_Toc119123032</vt:lpwstr>
      </vt:variant>
      <vt:variant>
        <vt:i4>1507386</vt:i4>
      </vt:variant>
      <vt:variant>
        <vt:i4>107</vt:i4>
      </vt:variant>
      <vt:variant>
        <vt:i4>0</vt:i4>
      </vt:variant>
      <vt:variant>
        <vt:i4>5</vt:i4>
      </vt:variant>
      <vt:variant>
        <vt:lpwstr/>
      </vt:variant>
      <vt:variant>
        <vt:lpwstr>_Toc119123031</vt:lpwstr>
      </vt:variant>
      <vt:variant>
        <vt:i4>1507386</vt:i4>
      </vt:variant>
      <vt:variant>
        <vt:i4>101</vt:i4>
      </vt:variant>
      <vt:variant>
        <vt:i4>0</vt:i4>
      </vt:variant>
      <vt:variant>
        <vt:i4>5</vt:i4>
      </vt:variant>
      <vt:variant>
        <vt:lpwstr/>
      </vt:variant>
      <vt:variant>
        <vt:lpwstr>_Toc119123030</vt:lpwstr>
      </vt:variant>
      <vt:variant>
        <vt:i4>1441850</vt:i4>
      </vt:variant>
      <vt:variant>
        <vt:i4>95</vt:i4>
      </vt:variant>
      <vt:variant>
        <vt:i4>0</vt:i4>
      </vt:variant>
      <vt:variant>
        <vt:i4>5</vt:i4>
      </vt:variant>
      <vt:variant>
        <vt:lpwstr/>
      </vt:variant>
      <vt:variant>
        <vt:lpwstr>_Toc119123029</vt:lpwstr>
      </vt:variant>
      <vt:variant>
        <vt:i4>1441850</vt:i4>
      </vt:variant>
      <vt:variant>
        <vt:i4>89</vt:i4>
      </vt:variant>
      <vt:variant>
        <vt:i4>0</vt:i4>
      </vt:variant>
      <vt:variant>
        <vt:i4>5</vt:i4>
      </vt:variant>
      <vt:variant>
        <vt:lpwstr/>
      </vt:variant>
      <vt:variant>
        <vt:lpwstr>_Toc119123028</vt:lpwstr>
      </vt:variant>
      <vt:variant>
        <vt:i4>1441850</vt:i4>
      </vt:variant>
      <vt:variant>
        <vt:i4>83</vt:i4>
      </vt:variant>
      <vt:variant>
        <vt:i4>0</vt:i4>
      </vt:variant>
      <vt:variant>
        <vt:i4>5</vt:i4>
      </vt:variant>
      <vt:variant>
        <vt:lpwstr/>
      </vt:variant>
      <vt:variant>
        <vt:lpwstr>_Toc119123027</vt:lpwstr>
      </vt:variant>
      <vt:variant>
        <vt:i4>1441850</vt:i4>
      </vt:variant>
      <vt:variant>
        <vt:i4>77</vt:i4>
      </vt:variant>
      <vt:variant>
        <vt:i4>0</vt:i4>
      </vt:variant>
      <vt:variant>
        <vt:i4>5</vt:i4>
      </vt:variant>
      <vt:variant>
        <vt:lpwstr/>
      </vt:variant>
      <vt:variant>
        <vt:lpwstr>_Toc119123026</vt:lpwstr>
      </vt:variant>
      <vt:variant>
        <vt:i4>1441850</vt:i4>
      </vt:variant>
      <vt:variant>
        <vt:i4>71</vt:i4>
      </vt:variant>
      <vt:variant>
        <vt:i4>0</vt:i4>
      </vt:variant>
      <vt:variant>
        <vt:i4>5</vt:i4>
      </vt:variant>
      <vt:variant>
        <vt:lpwstr/>
      </vt:variant>
      <vt:variant>
        <vt:lpwstr>_Toc119123025</vt:lpwstr>
      </vt:variant>
      <vt:variant>
        <vt:i4>1441850</vt:i4>
      </vt:variant>
      <vt:variant>
        <vt:i4>65</vt:i4>
      </vt:variant>
      <vt:variant>
        <vt:i4>0</vt:i4>
      </vt:variant>
      <vt:variant>
        <vt:i4>5</vt:i4>
      </vt:variant>
      <vt:variant>
        <vt:lpwstr/>
      </vt:variant>
      <vt:variant>
        <vt:lpwstr>_Toc119123024</vt:lpwstr>
      </vt:variant>
      <vt:variant>
        <vt:i4>1441850</vt:i4>
      </vt:variant>
      <vt:variant>
        <vt:i4>59</vt:i4>
      </vt:variant>
      <vt:variant>
        <vt:i4>0</vt:i4>
      </vt:variant>
      <vt:variant>
        <vt:i4>5</vt:i4>
      </vt:variant>
      <vt:variant>
        <vt:lpwstr/>
      </vt:variant>
      <vt:variant>
        <vt:lpwstr>_Toc119123023</vt:lpwstr>
      </vt:variant>
      <vt:variant>
        <vt:i4>1441850</vt:i4>
      </vt:variant>
      <vt:variant>
        <vt:i4>53</vt:i4>
      </vt:variant>
      <vt:variant>
        <vt:i4>0</vt:i4>
      </vt:variant>
      <vt:variant>
        <vt:i4>5</vt:i4>
      </vt:variant>
      <vt:variant>
        <vt:lpwstr/>
      </vt:variant>
      <vt:variant>
        <vt:lpwstr>_Toc119123022</vt:lpwstr>
      </vt:variant>
      <vt:variant>
        <vt:i4>1441850</vt:i4>
      </vt:variant>
      <vt:variant>
        <vt:i4>47</vt:i4>
      </vt:variant>
      <vt:variant>
        <vt:i4>0</vt:i4>
      </vt:variant>
      <vt:variant>
        <vt:i4>5</vt:i4>
      </vt:variant>
      <vt:variant>
        <vt:lpwstr/>
      </vt:variant>
      <vt:variant>
        <vt:lpwstr>_Toc119123021</vt:lpwstr>
      </vt:variant>
      <vt:variant>
        <vt:i4>1441850</vt:i4>
      </vt:variant>
      <vt:variant>
        <vt:i4>41</vt:i4>
      </vt:variant>
      <vt:variant>
        <vt:i4>0</vt:i4>
      </vt:variant>
      <vt:variant>
        <vt:i4>5</vt:i4>
      </vt:variant>
      <vt:variant>
        <vt:lpwstr/>
      </vt:variant>
      <vt:variant>
        <vt:lpwstr>_Toc119123020</vt:lpwstr>
      </vt:variant>
      <vt:variant>
        <vt:i4>1376314</vt:i4>
      </vt:variant>
      <vt:variant>
        <vt:i4>35</vt:i4>
      </vt:variant>
      <vt:variant>
        <vt:i4>0</vt:i4>
      </vt:variant>
      <vt:variant>
        <vt:i4>5</vt:i4>
      </vt:variant>
      <vt:variant>
        <vt:lpwstr/>
      </vt:variant>
      <vt:variant>
        <vt:lpwstr>_Toc119123019</vt:lpwstr>
      </vt:variant>
      <vt:variant>
        <vt:i4>1376314</vt:i4>
      </vt:variant>
      <vt:variant>
        <vt:i4>29</vt:i4>
      </vt:variant>
      <vt:variant>
        <vt:i4>0</vt:i4>
      </vt:variant>
      <vt:variant>
        <vt:i4>5</vt:i4>
      </vt:variant>
      <vt:variant>
        <vt:lpwstr/>
      </vt:variant>
      <vt:variant>
        <vt:lpwstr>_Toc119123018</vt:lpwstr>
      </vt:variant>
      <vt:variant>
        <vt:i4>1376314</vt:i4>
      </vt:variant>
      <vt:variant>
        <vt:i4>23</vt:i4>
      </vt:variant>
      <vt:variant>
        <vt:i4>0</vt:i4>
      </vt:variant>
      <vt:variant>
        <vt:i4>5</vt:i4>
      </vt:variant>
      <vt:variant>
        <vt:lpwstr/>
      </vt:variant>
      <vt:variant>
        <vt:lpwstr>_Toc119123017</vt:lpwstr>
      </vt:variant>
      <vt:variant>
        <vt:i4>1376314</vt:i4>
      </vt:variant>
      <vt:variant>
        <vt:i4>17</vt:i4>
      </vt:variant>
      <vt:variant>
        <vt:i4>0</vt:i4>
      </vt:variant>
      <vt:variant>
        <vt:i4>5</vt:i4>
      </vt:variant>
      <vt:variant>
        <vt:lpwstr/>
      </vt:variant>
      <vt:variant>
        <vt:lpwstr>_Toc119123016</vt:lpwstr>
      </vt:variant>
      <vt:variant>
        <vt:i4>1376314</vt:i4>
      </vt:variant>
      <vt:variant>
        <vt:i4>11</vt:i4>
      </vt:variant>
      <vt:variant>
        <vt:i4>0</vt:i4>
      </vt:variant>
      <vt:variant>
        <vt:i4>5</vt:i4>
      </vt:variant>
      <vt:variant>
        <vt:lpwstr/>
      </vt:variant>
      <vt:variant>
        <vt:lpwstr>_Toc119123015</vt:lpwstr>
      </vt:variant>
      <vt:variant>
        <vt:i4>1376314</vt:i4>
      </vt:variant>
      <vt:variant>
        <vt:i4>5</vt:i4>
      </vt:variant>
      <vt:variant>
        <vt:i4>0</vt:i4>
      </vt:variant>
      <vt:variant>
        <vt:i4>5</vt:i4>
      </vt:variant>
      <vt:variant>
        <vt:lpwstr/>
      </vt:variant>
      <vt:variant>
        <vt:lpwstr>_Toc119123014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McMillan</dc:creator>
  <cp:lastModifiedBy>Robert McLaren</cp:lastModifiedBy>
  <cp:revision>3</cp:revision>
  <cp:lastPrinted>2005-03-09T21:00:00Z</cp:lastPrinted>
  <dcterms:created xsi:type="dcterms:W3CDTF">2014-03-18T22:14:00Z</dcterms:created>
  <dcterms:modified xsi:type="dcterms:W3CDTF">2014-03-18T22:17:00Z</dcterms:modified>
</cp:coreProperties>
</file>