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8"/>
        <w:ind w:left="2127"/>
        <w:rPr>
          <w:rFonts w:cstheme="majorHAnsi"/>
          <w:sz w:val="52"/>
          <w:szCs w:val="52"/>
        </w:rPr>
      </w:pPr>
      <w:bookmarkStart w:id="576" w:name="_GoBack"/>
      <w:bookmarkEnd w:id="576"/>
      <w:r>
        <w:rPr>
          <w:rFonts w:cstheme="majorHAnsi"/>
          <w:sz w:val="52"/>
          <w:szCs w:val="52"/>
        </w:rPr>
        <w:t>Howden Care NZ</w:t>
      </w:r>
    </w:p>
    <w:p>
      <w:pPr>
        <w:pStyle w:val="358"/>
        <w:ind w:left="2127"/>
        <w:rPr>
          <w:rFonts w:cstheme="majorHAnsi"/>
          <w:sz w:val="52"/>
          <w:szCs w:val="52"/>
        </w:rPr>
      </w:pPr>
      <w:r>
        <w:rPr>
          <w:rFonts w:cstheme="majorHAnsi"/>
          <w:sz w:val="52"/>
          <w:szCs w:val="52"/>
        </w:rPr>
        <w:t>University of Otago</w:t>
      </w:r>
    </w:p>
    <w:p>
      <w:pPr>
        <w:pStyle w:val="358"/>
        <w:ind w:left="2127"/>
        <w:rPr>
          <w:rFonts w:cstheme="majorHAnsi"/>
          <w:b w:val="0"/>
        </w:rPr>
      </w:pPr>
      <w:r>
        <w:rPr>
          <w:rFonts w:cstheme="majorHAnsi"/>
          <w:b w:val="0"/>
        </w:rPr>
        <w:t>Claims Management Manual</w:t>
      </w:r>
    </w:p>
    <w:p>
      <w:pPr>
        <w:pStyle w:val="358"/>
        <w:ind w:left="2127"/>
        <w:rPr>
          <w:rFonts w:cstheme="majorHAnsi"/>
          <w:b w:val="0"/>
        </w:rPr>
      </w:pPr>
    </w:p>
    <w:p>
      <w:pPr>
        <w:pStyle w:val="358"/>
        <w:ind w:left="2127"/>
        <w:rPr>
          <w:rFonts w:cstheme="majorHAnsi"/>
          <w:b w:val="0"/>
        </w:rPr>
      </w:pPr>
      <w:r>
        <w:rPr>
          <w:rFonts w:cstheme="majorHAnsi"/>
          <w:color w:val="00E09E"/>
        </w:rPr>
        <w:t>March 2023</w:t>
      </w:r>
      <w:bookmarkStart w:id="0" w:name="ELEM_CoverPicture"/>
      <w:bookmarkEnd w:id="0"/>
    </w:p>
    <w:p>
      <w:pPr>
        <w:pStyle w:val="5"/>
        <w:rPr>
          <w:rFonts w:asciiTheme="majorHAnsi" w:hAnsiTheme="majorHAnsi" w:cstheme="majorHAnsi"/>
        </w:rPr>
        <w:sectPr>
          <w:headerReference r:id="rId7" w:type="first"/>
          <w:footerReference r:id="rId10" w:type="first"/>
          <w:headerReference r:id="rId5" w:type="default"/>
          <w:footerReference r:id="rId8" w:type="default"/>
          <w:headerReference r:id="rId6" w:type="even"/>
          <w:footerReference r:id="rId9" w:type="even"/>
          <w:pgSz w:w="11906" w:h="16838"/>
          <w:pgMar w:top="2474" w:right="1134" w:bottom="1304" w:left="1134" w:header="1276" w:footer="482" w:gutter="0"/>
          <w:cols w:space="708" w:num="1"/>
          <w:docGrid w:linePitch="360" w:charSpace="0"/>
        </w:sectPr>
      </w:pPr>
    </w:p>
    <w:p>
      <w:pPr>
        <w:pStyle w:val="146"/>
        <w:tabs>
          <w:tab w:val="left" w:pos="400"/>
          <w:tab w:val="right" w:leader="dot" w:pos="9629"/>
        </w:tabs>
        <w:rPr>
          <w:b w:val="0"/>
          <w:color w:val="152C46" w:themeColor="text1"/>
          <w:sz w:val="40"/>
          <w:szCs w:val="40"/>
          <w14:textFill>
            <w14:solidFill>
              <w14:schemeClr w14:val="tx1"/>
            </w14:solidFill>
          </w14:textFill>
        </w:rPr>
      </w:pPr>
      <w:bookmarkStart w:id="1" w:name="_Toc428269037"/>
      <w:r>
        <w:rPr>
          <w:b w:val="0"/>
          <w:color w:val="152C46" w:themeColor="text1"/>
          <w:sz w:val="40"/>
          <w:szCs w:val="40"/>
          <w14:textFill>
            <w14:solidFill>
              <w14:schemeClr w14:val="tx1"/>
            </w14:solidFill>
          </w14:textFill>
        </w:rPr>
        <w:t>T</w:t>
      </w:r>
      <w:r>
        <w:rPr>
          <w:b w:val="0"/>
          <w:caps w:val="0"/>
          <w:color w:val="152C46" w:themeColor="text1"/>
          <w:sz w:val="40"/>
          <w:szCs w:val="40"/>
          <w14:textFill>
            <w14:solidFill>
              <w14:schemeClr w14:val="tx1"/>
            </w14:solidFill>
          </w14:textFill>
        </w:rPr>
        <w:t>able of contents</w:t>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TOC \o "1-3" \h \z \u </w:instrText>
      </w:r>
      <w:r>
        <w:rPr>
          <w:color w:val="152C46" w:themeColor="text1"/>
          <w14:textFill>
            <w14:solidFill>
              <w14:schemeClr w14:val="tx1"/>
            </w14:solidFill>
          </w14:textFill>
        </w:rPr>
        <w:fldChar w:fldCharType="separate"/>
      </w:r>
      <w:r>
        <w:fldChar w:fldCharType="begin"/>
      </w:r>
      <w:r>
        <w:instrText xml:space="preserve"> HYPERLINK \l "_Toc101532315" </w:instrText>
      </w:r>
      <w:r>
        <w:fldChar w:fldCharType="separate"/>
      </w:r>
      <w:r>
        <w:rPr>
          <w:rStyle w:val="55"/>
          <w:rFonts w:cstheme="majorHAnsi"/>
          <w:color w:val="152C46" w:themeColor="text1"/>
          <w14:textFill>
            <w14:solidFill>
              <w14:schemeClr w14:val="tx1"/>
            </w14:solidFill>
          </w14:textFill>
        </w:rPr>
        <w:t>1.</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INTRODUCTION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_Toc101532315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"_Toc101532316" </w:instrText>
      </w:r>
      <w:r>
        <w:fldChar w:fldCharType="separate"/>
      </w:r>
      <w:r>
        <w:rPr>
          <w:rStyle w:val="55"/>
          <w:rFonts w:cstheme="majorHAnsi"/>
          <w:color w:val="152C46" w:themeColor="text1"/>
          <w14:textFill>
            <w14:solidFill>
              <w14:schemeClr w14:val="tx1"/>
            </w14:solidFill>
          </w14:textFill>
        </w:rPr>
        <w:t>2.</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COMMITMENT STATEMENT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_Toc101532316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"_Toc101532317" </w:instrText>
      </w:r>
      <w:r>
        <w:fldChar w:fldCharType="separate"/>
      </w:r>
      <w:r>
        <w:rPr>
          <w:rStyle w:val="55"/>
          <w:rFonts w:cstheme="majorHAnsi"/>
          <w:color w:val="152C46" w:themeColor="text1"/>
          <w14:textFill>
            <w14:solidFill>
              <w14:schemeClr w14:val="tx1"/>
            </w14:solidFill>
          </w14:textFill>
        </w:rPr>
        <w:t>3.</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INJURY MANAGEMENT PROGRAMME INFORMATION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_Toc101532317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"_Toc101532318" </w:instrText>
      </w:r>
      <w:r>
        <w:fldChar w:fldCharType="separate"/>
      </w:r>
      <w:r>
        <w:rPr>
          <w:rStyle w:val="55"/>
          <w:rFonts w:cstheme="majorHAnsi"/>
          <w:color w:val="152C46" w:themeColor="text1"/>
          <w14:textFill>
            <w14:solidFill>
              <w14:schemeClr w14:val="tx1"/>
            </w14:solidFill>
          </w14:textFill>
        </w:rPr>
        <w:t>3.1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Kaimahi-staffawareness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_Toc101532318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"_Toc101532319" </w:instrText>
      </w:r>
      <w:r>
        <w:fldChar w:fldCharType="separate"/>
      </w:r>
      <w:r>
        <w:rPr>
          <w:rStyle w:val="55"/>
          <w:rFonts w:cstheme="majorHAnsi"/>
          <w:color w:val="152C46" w:themeColor="text1"/>
          <w14:textFill>
            <w14:solidFill>
              <w14:schemeClr w14:val="tx1"/>
            </w14:solidFill>
          </w14:textFill>
        </w:rPr>
        <w:t>4.</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ROLES AND RESPONSIBILITIES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_Toc101532319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"_Toc101532320" </w:instrText>
      </w:r>
      <w:r>
        <w:fldChar w:fldCharType="separate"/>
      </w:r>
      <w:r>
        <w:rPr>
          <w:rStyle w:val="55"/>
          <w:rFonts w:cstheme="majorHAnsi"/>
          <w:color w:val="152C46" w:themeColor="text1"/>
          <w14:textFill>
            <w14:solidFill>
              <w14:schemeClr w14:val="tx1"/>
            </w14:solidFill>
          </w14:textFill>
        </w:rPr>
        <w:t>5.</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 LODGEMENT AND COVER</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"_Toc101532321" </w:instrText>
      </w:r>
      <w:r>
        <w:fldChar w:fldCharType="separate"/>
      </w:r>
      <w:r>
        <w:rPr>
          <w:rStyle w:val="55"/>
          <w:rFonts w:cstheme="majorHAnsi"/>
          <w:color w:val="152C46" w:themeColor="text1"/>
          <w14:textFill>
            <w14:solidFill>
              <w14:schemeClr w14:val="tx1"/>
            </w14:solidFill>
          </w14:textFill>
        </w:rPr>
        <w:t>5.1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 lodgement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"_Toc101532322" </w:instrText>
      </w:r>
      <w:r>
        <w:fldChar w:fldCharType="separate"/>
      </w:r>
      <w:r>
        <w:rPr>
          <w:rStyle w:val="55"/>
          <w:rFonts w:cstheme="majorHAnsi"/>
          <w:color w:val="152C46" w:themeColor="text1"/>
          <w14:textFill>
            <w14:solidFill>
              <w14:schemeClr w14:val="tx1"/>
            </w14:solidFill>
          </w14:textFill>
        </w:rPr>
        <w:t>5.1.1</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Lodging a claim</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"_Toc101532323" </w:instrText>
      </w:r>
      <w:r>
        <w:fldChar w:fldCharType="separate"/>
      </w:r>
      <w:r>
        <w:rPr>
          <w:rStyle w:val="55"/>
          <w:rFonts w:cstheme="majorHAnsi"/>
          <w:color w:val="152C46" w:themeColor="text1"/>
          <w14:textFill>
            <w14:solidFill>
              <w14:schemeClr w14:val="tx1"/>
            </w14:solidFill>
          </w14:textFill>
        </w:rPr>
        <w:t>5.1.2</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Receipt of claim and registration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"_Toc101532324" </w:instrText>
      </w:r>
      <w:r>
        <w:fldChar w:fldCharType="separate"/>
      </w:r>
      <w:r>
        <w:rPr>
          <w:rStyle w:val="55"/>
          <w:rFonts w:cstheme="majorHAnsi"/>
          <w:color w:val="152C46" w:themeColor="text1"/>
          <w14:textFill>
            <w14:solidFill>
              <w14:schemeClr w14:val="tx1"/>
            </w14:solidFill>
          </w14:textFill>
        </w:rPr>
        <w:t>5.2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Cover decisions and timeframes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"_Toc101532325" </w:instrText>
      </w:r>
      <w:r>
        <w:fldChar w:fldCharType="separate"/>
      </w:r>
      <w:r>
        <w:rPr>
          <w:rStyle w:val="55"/>
          <w:rFonts w:cstheme="majorHAnsi"/>
          <w:color w:val="152C46" w:themeColor="text1"/>
          <w14:textFill>
            <w14:solidFill>
              <w14:schemeClr w14:val="tx1"/>
            </w14:solidFill>
          </w14:textFill>
        </w:rPr>
        <w:t>5.2.1</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PICBA claims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"_Toc101532326" </w:instrText>
      </w:r>
      <w:r>
        <w:fldChar w:fldCharType="separate"/>
      </w:r>
      <w:r>
        <w:rPr>
          <w:rStyle w:val="55"/>
          <w:rFonts w:cstheme="majorHAnsi"/>
          <w:color w:val="152C46" w:themeColor="text1"/>
          <w14:textFill>
            <w14:solidFill>
              <w14:schemeClr w14:val="tx1"/>
            </w14:solidFill>
          </w14:textFill>
        </w:rPr>
        <w:t>5.2.2</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Complicated claims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"_Toc101532327" </w:instrText>
      </w:r>
      <w:r>
        <w:fldChar w:fldCharType="separate"/>
      </w:r>
      <w:r>
        <w:rPr>
          <w:rStyle w:val="55"/>
          <w:rFonts w:cstheme="majorHAnsi"/>
          <w:color w:val="152C46" w:themeColor="text1"/>
          <w14:textFill>
            <w14:solidFill>
              <w14:schemeClr w14:val="tx1"/>
            </w14:solidFill>
          </w14:textFill>
        </w:rPr>
        <w:t>5.2.3</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Accepted claims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"_Toc101532328" </w:instrText>
      </w:r>
      <w:r>
        <w:fldChar w:fldCharType="separate"/>
      </w:r>
      <w:r>
        <w:rPr>
          <w:rStyle w:val="55"/>
          <w:rFonts w:cstheme="majorHAnsi"/>
          <w:color w:val="152C46" w:themeColor="text1"/>
          <w14:textFill>
            <w14:solidFill>
              <w14:schemeClr w14:val="tx1"/>
            </w14:solidFill>
          </w14:textFill>
        </w:rPr>
        <w:t>5.2.4</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Declined claims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"_Toc101532329" </w:instrText>
      </w:r>
      <w:r>
        <w:fldChar w:fldCharType="separate"/>
      </w:r>
      <w:r>
        <w:rPr>
          <w:rStyle w:val="55"/>
          <w:rFonts w:cstheme="majorHAnsi"/>
          <w:color w:val="152C46" w:themeColor="text1"/>
          <w14:textFill>
            <w14:solidFill>
              <w14:schemeClr w14:val="tx1"/>
            </w14:solidFill>
          </w14:textFill>
        </w:rPr>
        <w:t>6.</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CLAIMS MANAGEMENT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_Toc101532329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"_Toc101532330" </w:instrText>
      </w:r>
      <w:r>
        <w:fldChar w:fldCharType="separate"/>
      </w:r>
      <w:r>
        <w:rPr>
          <w:rStyle w:val="55"/>
          <w:rFonts w:cstheme="majorHAnsi"/>
          <w:color w:val="152C46" w:themeColor="text1"/>
          <w14:textFill>
            <w14:solidFill>
              <w14:schemeClr w14:val="tx1"/>
            </w14:solidFill>
          </w14:textFill>
        </w:rPr>
        <w:t>6.1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 triage and risk classification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"_Toc101532331" </w:instrText>
      </w:r>
      <w:r>
        <w:fldChar w:fldCharType="separate"/>
      </w:r>
      <w:r>
        <w:rPr>
          <w:rStyle w:val="55"/>
          <w:rFonts w:cstheme="majorHAnsi"/>
          <w:color w:val="152C46" w:themeColor="text1"/>
          <w14:textFill>
            <w14:solidFill>
              <w14:schemeClr w14:val="tx1"/>
            </w14:solidFill>
          </w14:textFill>
        </w:rPr>
        <w:t>6.2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Initial needs assessment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"_Toc101532332" </w:instrText>
      </w:r>
      <w:r>
        <w:fldChar w:fldCharType="separate"/>
      </w:r>
      <w:r>
        <w:rPr>
          <w:rStyle w:val="55"/>
          <w:rFonts w:cstheme="majorHAnsi"/>
          <w:color w:val="152C46" w:themeColor="text1"/>
          <w14:textFill>
            <w14:solidFill>
              <w14:schemeClr w14:val="tx1"/>
            </w14:solidFill>
          </w14:textFill>
        </w:rPr>
        <w:t>6.3</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Action plans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"_Toc101532333" </w:instrText>
      </w:r>
      <w:r>
        <w:fldChar w:fldCharType="separate"/>
      </w:r>
      <w:r>
        <w:rPr>
          <w:rStyle w:val="55"/>
          <w:rFonts w:cstheme="majorHAnsi"/>
          <w:color w:val="152C46" w:themeColor="text1"/>
          <w14:textFill>
            <w14:solidFill>
              <w14:schemeClr w14:val="tx1"/>
            </w14:solidFill>
          </w14:textFill>
        </w:rPr>
        <w:t>6.4</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Referrals for assessment and/or treatment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6</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"_Toc101532334" </w:instrText>
      </w:r>
      <w:r>
        <w:fldChar w:fldCharType="separate"/>
      </w:r>
      <w:r>
        <w:rPr>
          <w:rStyle w:val="55"/>
          <w:rFonts w:cstheme="majorHAnsi"/>
          <w:color w:val="152C46" w:themeColor="text1"/>
          <w14:textFill>
            <w14:solidFill>
              <w14:schemeClr w14:val="tx1"/>
            </w14:solidFill>
          </w14:textFill>
        </w:rPr>
        <w:t>6.5</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Privacy and Consent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6</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"_Toc101532335" </w:instrText>
      </w:r>
      <w:r>
        <w:fldChar w:fldCharType="separate"/>
      </w:r>
      <w:r>
        <w:rPr>
          <w:rStyle w:val="55"/>
          <w:rFonts w:cstheme="majorHAnsi"/>
          <w:color w:val="152C46" w:themeColor="text1"/>
          <w14:textFill>
            <w14:solidFill>
              <w14:schemeClr w14:val="tx1"/>
            </w14:solidFill>
          </w14:textFill>
        </w:rPr>
        <w:t>6.5.1</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Privacy Act 2020 and Health Information Privacy Code 2020</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6</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"_Toc101532336" </w:instrText>
      </w:r>
      <w:r>
        <w:fldChar w:fldCharType="separate"/>
      </w:r>
      <w:r>
        <w:rPr>
          <w:rStyle w:val="55"/>
          <w:rFonts w:cstheme="majorHAnsi"/>
          <w:color w:val="152C46" w:themeColor="text1"/>
          <w14:textFill>
            <w14:solidFill>
              <w14:schemeClr w14:val="tx1"/>
            </w14:solidFill>
          </w14:textFill>
        </w:rPr>
        <w:t>6.5.2</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Privacy</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6</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"_Toc101532337" </w:instrText>
      </w:r>
      <w:r>
        <w:fldChar w:fldCharType="separate"/>
      </w:r>
      <w:r>
        <w:rPr>
          <w:rStyle w:val="55"/>
          <w:rFonts w:cstheme="majorHAnsi"/>
          <w:color w:val="152C46" w:themeColor="text1"/>
          <w14:textFill>
            <w14:solidFill>
              <w14:schemeClr w14:val="tx1"/>
            </w14:solidFill>
          </w14:textFill>
        </w:rPr>
        <w:t>6.5.3</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Consent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7</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"_Toc101532338" </w:instrText>
      </w:r>
      <w:r>
        <w:fldChar w:fldCharType="separate"/>
      </w:r>
      <w:r>
        <w:rPr>
          <w:rStyle w:val="55"/>
          <w:rFonts w:cstheme="majorHAnsi"/>
          <w:color w:val="152C46" w:themeColor="text1"/>
          <w14:textFill>
            <w14:solidFill>
              <w14:schemeClr w14:val="tx1"/>
            </w14:solidFill>
          </w14:textFill>
        </w:rPr>
        <w:t>6.6</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 contents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7</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"_Toc101532339" </w:instrText>
      </w:r>
      <w:r>
        <w:fldChar w:fldCharType="separate"/>
      </w:r>
      <w:r>
        <w:rPr>
          <w:rStyle w:val="55"/>
          <w:rFonts w:cstheme="majorHAnsi"/>
          <w:color w:val="152C46" w:themeColor="text1"/>
          <w14:textFill>
            <w14:solidFill>
              <w14:schemeClr w14:val="tx1"/>
            </w14:solidFill>
          </w14:textFill>
        </w:rPr>
        <w:t>6.7</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 transfers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_Toc101532339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8</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"_Toc101532340" </w:instrText>
      </w:r>
      <w:r>
        <w:fldChar w:fldCharType="separate"/>
      </w:r>
      <w:r>
        <w:rPr>
          <w:rStyle w:val="55"/>
          <w:rFonts w:cstheme="majorHAnsi"/>
          <w:color w:val="152C46" w:themeColor="text1"/>
          <w14:textFill>
            <w14:solidFill>
              <w14:schemeClr w14:val="tx1"/>
            </w14:solidFill>
          </w14:textFill>
        </w:rPr>
        <w:t>6.8</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Claim closure</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8</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"_Toc101532341" </w:instrText>
      </w:r>
      <w:r>
        <w:fldChar w:fldCharType="separate"/>
      </w:r>
      <w:r>
        <w:rPr>
          <w:rStyle w:val="55"/>
          <w:rFonts w:cstheme="majorHAnsi"/>
          <w:color w:val="152C46" w:themeColor="text1"/>
          <w14:textFill>
            <w14:solidFill>
              <w14:schemeClr w14:val="tx1"/>
            </w14:solidFill>
          </w14:textFill>
        </w:rPr>
        <w:t>7.</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ENTITLEMENTS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"_Toc101532342" </w:instrText>
      </w:r>
      <w:r>
        <w:fldChar w:fldCharType="separate"/>
      </w:r>
      <w:r>
        <w:rPr>
          <w:rStyle w:val="55"/>
          <w:rFonts w:cstheme="majorHAnsi"/>
          <w:color w:val="152C46" w:themeColor="text1"/>
          <w14:textFill>
            <w14:solidFill>
              <w14:schemeClr w14:val="tx1"/>
            </w14:solidFill>
          </w14:textFill>
        </w:rPr>
        <w:t>7.1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Assessment of entitlements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"_Toc101532343" </w:instrText>
      </w:r>
      <w:r>
        <w:fldChar w:fldCharType="separate"/>
      </w:r>
      <w:r>
        <w:rPr>
          <w:rStyle w:val="55"/>
          <w:rFonts w:cstheme="majorHAnsi"/>
          <w:color w:val="152C46" w:themeColor="text1"/>
          <w14:textFill>
            <w14:solidFill>
              <w14:schemeClr w14:val="tx1"/>
            </w14:solidFill>
          </w14:textFill>
        </w:rPr>
        <w:t>7.2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Medical 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"_Toc101532344" </w:instrText>
      </w:r>
      <w:r>
        <w:fldChar w:fldCharType="separate"/>
      </w:r>
      <w:r>
        <w:rPr>
          <w:rStyle w:val="55"/>
          <w:rFonts w:cstheme="majorHAnsi"/>
          <w:color w:val="152C46" w:themeColor="text1"/>
          <w14:textFill>
            <w14:solidFill>
              <w14:schemeClr w14:val="tx1"/>
            </w14:solidFill>
          </w14:textFill>
        </w:rPr>
        <w:t>7.3</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Social 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"_Toc101532345" </w:instrText>
      </w:r>
      <w:r>
        <w:fldChar w:fldCharType="separate"/>
      </w:r>
      <w:r>
        <w:rPr>
          <w:rStyle w:val="55"/>
          <w:rFonts w:cstheme="majorHAnsi"/>
          <w:color w:val="152C46" w:themeColor="text1"/>
          <w14:textFill>
            <w14:solidFill>
              <w14:schemeClr w14:val="tx1"/>
            </w14:solidFill>
          </w14:textFill>
        </w:rPr>
        <w:t>7.4</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Vocational 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"_Toc101532346" </w:instrText>
      </w:r>
      <w:r>
        <w:fldChar w:fldCharType="separate"/>
      </w:r>
      <w:r>
        <w:rPr>
          <w:rStyle w:val="55"/>
          <w:rFonts w:cstheme="majorHAnsi"/>
          <w:color w:val="152C46" w:themeColor="text1"/>
          <w14:textFill>
            <w14:solidFill>
              <w14:schemeClr w14:val="tx1"/>
            </w14:solidFill>
          </w14:textFill>
        </w:rPr>
        <w:t>7.5</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Weekly compensation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"_Toc101532347" </w:instrText>
      </w:r>
      <w:r>
        <w:fldChar w:fldCharType="separate"/>
      </w:r>
      <w:r>
        <w:rPr>
          <w:rStyle w:val="55"/>
          <w:rFonts w:eastAsia="Times New Roman" w:cstheme="majorHAnsi"/>
          <w:color w:val="152C46" w:themeColor="text1"/>
          <w:lang w:eastAsia="en-GB"/>
          <w14:textFill>
            <w14:solidFill>
              <w14:schemeClr w14:val="tx1"/>
            </w14:solidFill>
          </w14:textFill>
        </w:rPr>
        <w:t>7.5.1</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lang w:eastAsia="en-GB"/>
          <w14:textFill>
            <w14:solidFill>
              <w14:schemeClr w14:val="tx1"/>
            </w14:solidFill>
          </w14:textFill>
        </w:rPr>
        <w:t>Medical certification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"_Toc101532348" </w:instrText>
      </w:r>
      <w:r>
        <w:fldChar w:fldCharType="separate"/>
      </w:r>
      <w:r>
        <w:rPr>
          <w:rStyle w:val="55"/>
          <w:rFonts w:cstheme="majorHAnsi"/>
          <w:color w:val="152C46" w:themeColor="text1"/>
          <w:lang w:eastAsia="en-GB"/>
          <w14:textFill>
            <w14:solidFill>
              <w14:schemeClr w14:val="tx1"/>
            </w14:solidFill>
          </w14:textFill>
        </w:rPr>
        <w:t>7.5.2</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lang w:eastAsia="en-GB"/>
          <w14:textFill>
            <w14:solidFill>
              <w14:schemeClr w14:val="tx1"/>
            </w14:solidFill>
          </w14:textFill>
        </w:rPr>
        <w:t>Calculating weekly compensation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"_Toc101532349" </w:instrText>
      </w:r>
      <w:r>
        <w:fldChar w:fldCharType="separate"/>
      </w:r>
      <w:r>
        <w:rPr>
          <w:rStyle w:val="55"/>
          <w:rFonts w:cstheme="majorHAnsi"/>
          <w:color w:val="152C46" w:themeColor="text1"/>
          <w14:textFill>
            <w14:solidFill>
              <w14:schemeClr w14:val="tx1"/>
            </w14:solidFill>
          </w14:textFill>
        </w:rPr>
        <w:t>7.5.3</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Abatement</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_Toc101532349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"_Toc101532350" </w:instrText>
      </w:r>
      <w:r>
        <w:fldChar w:fldCharType="separate"/>
      </w:r>
      <w:r>
        <w:rPr>
          <w:rStyle w:val="55"/>
          <w:rFonts w:cstheme="majorHAnsi"/>
          <w:color w:val="152C46" w:themeColor="text1"/>
          <w14:textFill>
            <w14:solidFill>
              <w14:schemeClr w14:val="tx1"/>
            </w14:solidFill>
          </w14:textFill>
        </w:rPr>
        <w:t>7.5.4</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Weekly compensation and abatement assessment responsibilities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"_Toc101532351" </w:instrText>
      </w:r>
      <w:r>
        <w:fldChar w:fldCharType="separate"/>
      </w:r>
      <w:r>
        <w:rPr>
          <w:rStyle w:val="55"/>
          <w:rFonts w:cstheme="majorHAnsi"/>
          <w:color w:val="152C46" w:themeColor="text1"/>
          <w14:textFill>
            <w14:solidFill>
              <w14:schemeClr w14:val="tx1"/>
            </w14:solidFill>
          </w14:textFill>
        </w:rPr>
        <w:t>7.5.5</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Order in council</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"_Toc101532352" </w:instrText>
      </w:r>
      <w:r>
        <w:fldChar w:fldCharType="separate"/>
      </w:r>
      <w:r>
        <w:rPr>
          <w:rStyle w:val="55"/>
          <w:rFonts w:cstheme="majorHAnsi"/>
          <w:color w:val="152C46" w:themeColor="text1"/>
          <w14:textFill>
            <w14:solidFill>
              <w14:schemeClr w14:val="tx1"/>
            </w14:solidFill>
          </w14:textFill>
        </w:rPr>
        <w:t>7.6</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Lump sum compensation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"_Toc101532353" </w:instrText>
      </w:r>
      <w:r>
        <w:fldChar w:fldCharType="separate"/>
      </w:r>
      <w:r>
        <w:rPr>
          <w:rStyle w:val="55"/>
          <w:rFonts w:cstheme="majorHAnsi"/>
          <w:color w:val="152C46" w:themeColor="text1"/>
          <w14:textFill>
            <w14:solidFill>
              <w14:schemeClr w14:val="tx1"/>
            </w14:solidFill>
          </w14:textFill>
        </w:rPr>
        <w:t>7.7</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Accuracy of entitlements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"_Toc101532354" </w:instrText>
      </w:r>
      <w:r>
        <w:fldChar w:fldCharType="separate"/>
      </w:r>
      <w:r>
        <w:rPr>
          <w:rStyle w:val="55"/>
          <w:rFonts w:cstheme="majorHAnsi"/>
          <w:color w:val="152C46" w:themeColor="text1"/>
          <w14:textFill>
            <w14:solidFill>
              <w14:schemeClr w14:val="tx1"/>
            </w14:solidFill>
          </w14:textFill>
        </w:rPr>
        <w:t>8.</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"_Toc101532355" </w:instrText>
      </w:r>
      <w:r>
        <w:fldChar w:fldCharType="separate"/>
      </w:r>
      <w:r>
        <w:rPr>
          <w:rStyle w:val="55"/>
          <w:rFonts w:cstheme="majorHAnsi"/>
          <w:color w:val="152C46" w:themeColor="text1"/>
          <w14:textFill>
            <w14:solidFill>
              <w14:schemeClr w14:val="tx1"/>
            </w14:solidFill>
          </w14:textFill>
        </w:rPr>
        <w:t>8.1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About 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"_Toc101532356" </w:instrText>
      </w:r>
      <w:r>
        <w:fldChar w:fldCharType="separate"/>
      </w:r>
      <w:r>
        <w:rPr>
          <w:rStyle w:val="55"/>
          <w:rFonts w:cstheme="majorHAnsi"/>
          <w:color w:val="152C46" w:themeColor="text1"/>
          <w14:textFill>
            <w14:solidFill>
              <w14:schemeClr w14:val="tx1"/>
            </w14:solidFill>
          </w14:textFill>
        </w:rPr>
        <w:t>8.2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Rehabilitation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"_Toc101532357" </w:instrText>
      </w:r>
      <w:r>
        <w:fldChar w:fldCharType="separate"/>
      </w:r>
      <w:r>
        <w:rPr>
          <w:rStyle w:val="55"/>
          <w:rFonts w:cstheme="majorHAnsi"/>
          <w:color w:val="152C46" w:themeColor="text1"/>
          <w14:textFill>
            <w14:solidFill>
              <w14:schemeClr w14:val="tx1"/>
            </w14:solidFill>
          </w14:textFill>
        </w:rPr>
        <w:t>8.3</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Rehabilitation plan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"_Toc101532358" </w:instrText>
      </w:r>
      <w:r>
        <w:fldChar w:fldCharType="separate"/>
      </w:r>
      <w:r>
        <w:rPr>
          <w:rStyle w:val="55"/>
          <w:rFonts w:cstheme="majorHAnsi"/>
          <w:color w:val="152C46" w:themeColor="text1"/>
          <w14:textFill>
            <w14:solidFill>
              <w14:schemeClr w14:val="tx1"/>
            </w14:solidFill>
          </w14:textFill>
        </w:rPr>
        <w:t>8.4</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Developing the Rehabilitation Plan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"_Toc101532359" </w:instrText>
      </w:r>
      <w:r>
        <w:fldChar w:fldCharType="separate"/>
      </w:r>
      <w:r>
        <w:rPr>
          <w:rStyle w:val="55"/>
          <w:rFonts w:cstheme="majorHAnsi"/>
          <w:color w:val="152C46" w:themeColor="text1"/>
          <w14:textFill>
            <w14:solidFill>
              <w14:schemeClr w14:val="tx1"/>
            </w14:solidFill>
          </w14:textFill>
        </w:rPr>
        <w:t>8.5</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Monitoring and review of 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_Toc101532359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"_Toc101532360" </w:instrText>
      </w:r>
      <w:r>
        <w:fldChar w:fldCharType="separate"/>
      </w:r>
      <w:r>
        <w:rPr>
          <w:rStyle w:val="55"/>
          <w:rFonts w:cstheme="majorHAnsi"/>
          <w:color w:val="152C46" w:themeColor="text1"/>
          <w14:textFill>
            <w14:solidFill>
              <w14:schemeClr w14:val="tx1"/>
            </w14:solidFill>
          </w14:textFill>
        </w:rPr>
        <w:t>8.6</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Non progressive rehabilitation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17</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4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"_Toc101532361" </w:instrText>
      </w:r>
      <w:r>
        <w:fldChar w:fldCharType="separate"/>
      </w:r>
      <w:r>
        <w:rPr>
          <w:rStyle w:val="55"/>
          <w:rFonts w:cstheme="majorHAnsi"/>
          <w:color w:val="152C46" w:themeColor="text1"/>
          <w14:textFill>
            <w14:solidFill>
              <w14:schemeClr w14:val="tx1"/>
            </w14:solidFill>
          </w14:textFill>
        </w:rPr>
        <w:t>9.</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Vocational Independence</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18</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6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"_Toc101532362" </w:instrText>
      </w:r>
      <w:r>
        <w:fldChar w:fldCharType="separate"/>
      </w:r>
      <w:r>
        <w:rPr>
          <w:rStyle w:val="55"/>
          <w:rFonts w:cstheme="majorHAnsi"/>
          <w:color w:val="152C46" w:themeColor="text1"/>
          <w14:textFill>
            <w14:solidFill>
              <w14:schemeClr w14:val="tx1"/>
            </w14:solidFill>
          </w14:textFill>
        </w:rPr>
        <w:t>10.</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COMPLAINTS AND REVIEWS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"_Toc101532363" </w:instrText>
      </w:r>
      <w:r>
        <w:fldChar w:fldCharType="separate"/>
      </w:r>
      <w:r>
        <w:rPr>
          <w:rStyle w:val="55"/>
          <w:color w:val="152C46" w:themeColor="text1"/>
          <w14:textFill>
            <w14:solidFill>
              <w14:schemeClr w14:val="tx1"/>
            </w14:solidFill>
          </w14:textFill>
        </w:rPr>
        <w:t>10.1</w:t>
      </w:r>
      <w:r>
        <w:rPr>
          <w:rFonts w:eastAsiaTheme="minorEastAsia" w:cstheme="minorBidi"/>
          <w:color w:val="152C46" w:themeColor="text1"/>
          <w:sz w:val="22"/>
          <w:szCs w:val="22"/>
          <w:lang w:val="en-AU" w:eastAsia="en-AU"/>
          <w14:textFill>
            <w14:solidFill>
              <w14:schemeClr w14:val="tx1"/>
            </w14:solidFill>
          </w14:textFill>
        </w:rPr>
        <w:tab/>
      </w:r>
      <w:r>
        <w:rPr>
          <w:rStyle w:val="55"/>
          <w:color w:val="152C46" w:themeColor="text1"/>
          <w14:textFill>
            <w14:solidFill>
              <w14:schemeClr w14:val="tx1"/>
            </w14:solidFill>
          </w14:textFill>
        </w:rPr>
        <w:t>Introduction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"_Toc101532364" </w:instrText>
      </w:r>
      <w:r>
        <w:fldChar w:fldCharType="separate"/>
      </w:r>
      <w:r>
        <w:rPr>
          <w:rStyle w:val="55"/>
          <w:rFonts w:cstheme="majorHAnsi"/>
          <w:color w:val="152C46" w:themeColor="text1"/>
          <w14:textFill>
            <w14:solidFill>
              <w14:schemeClr w14:val="tx1"/>
            </w14:solidFill>
          </w14:textFill>
        </w:rPr>
        <w:t>10.2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Code of claimant rights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"_Toc101532365" </w:instrText>
      </w:r>
      <w:r>
        <w:fldChar w:fldCharType="separate"/>
      </w:r>
      <w:r>
        <w:rPr>
          <w:rStyle w:val="55"/>
          <w:rFonts w:cstheme="majorHAnsi"/>
          <w:color w:val="152C46" w:themeColor="text1"/>
          <w14:textFill>
            <w14:solidFill>
              <w14:schemeClr w14:val="tx1"/>
            </w14:solidFill>
          </w14:textFill>
        </w:rPr>
        <w:t>10.3</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Complaints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19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"_Toc101532366" </w:instrText>
      </w:r>
      <w:r>
        <w:fldChar w:fldCharType="separate"/>
      </w:r>
      <w:r>
        <w:rPr>
          <w:rStyle w:val="55"/>
          <w:rFonts w:cstheme="majorHAnsi"/>
          <w:color w:val="152C46" w:themeColor="text1"/>
          <w14:textFill>
            <w14:solidFill>
              <w14:schemeClr w14:val="tx1"/>
            </w14:solidFill>
          </w14:textFill>
        </w:rPr>
        <w:t>10.4</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Reviews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"_Toc101532367" </w:instrText>
      </w:r>
      <w:r>
        <w:fldChar w:fldCharType="separate"/>
      </w:r>
      <w:r>
        <w:rPr>
          <w:rStyle w:val="55"/>
          <w:rFonts w:cstheme="majorHAnsi"/>
          <w:color w:val="152C46" w:themeColor="text1"/>
          <w14:textFill>
            <w14:solidFill>
              <w14:schemeClr w14:val="tx1"/>
            </w14:solidFill>
          </w14:textFill>
        </w:rPr>
        <w:t>10.5</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Mediation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"_Toc101532368" </w:instrText>
      </w:r>
      <w:r>
        <w:fldChar w:fldCharType="separate"/>
      </w:r>
      <w:r>
        <w:rPr>
          <w:rStyle w:val="55"/>
          <w:rFonts w:cstheme="majorHAnsi"/>
          <w:color w:val="152C46" w:themeColor="text1"/>
          <w14:textFill>
            <w14:solidFill>
              <w14:schemeClr w14:val="tx1"/>
            </w14:solidFill>
          </w14:textFill>
        </w:rPr>
        <w:t>10.6</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Review applications and hearings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"_Toc101532369" </w:instrText>
      </w:r>
      <w:r>
        <w:fldChar w:fldCharType="separate"/>
      </w:r>
      <w:r>
        <w:rPr>
          <w:rStyle w:val="55"/>
          <w:rFonts w:cstheme="majorHAnsi"/>
          <w:color w:val="152C46" w:themeColor="text1"/>
          <w14:textFill>
            <w14:solidFill>
              <w14:schemeClr w14:val="tx1"/>
            </w14:solidFill>
          </w14:textFill>
        </w:rPr>
        <w:t>10.6.1</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Review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_Toc101532369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"_Toc101532370" </w:instrText>
      </w:r>
      <w:r>
        <w:fldChar w:fldCharType="separate"/>
      </w:r>
      <w:r>
        <w:rPr>
          <w:rStyle w:val="55"/>
          <w:rFonts w:cstheme="majorHAnsi"/>
          <w:color w:val="152C46" w:themeColor="text1"/>
          <w14:textFill>
            <w14:solidFill>
              <w14:schemeClr w14:val="tx1"/>
            </w14:solidFill>
          </w14:textFill>
        </w:rPr>
        <w:t>10.6.2</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Withdrawal of review application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"_Toc101532371" </w:instrText>
      </w:r>
      <w:r>
        <w:fldChar w:fldCharType="separate"/>
      </w:r>
      <w:r>
        <w:rPr>
          <w:rStyle w:val="55"/>
          <w:rFonts w:cstheme="majorHAnsi"/>
          <w:color w:val="152C46" w:themeColor="text1"/>
          <w14:textFill>
            <w14:solidFill>
              <w14:schemeClr w14:val="tx1"/>
            </w14:solidFill>
          </w14:textFill>
        </w:rPr>
        <w:t>10.6.3</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Review hearing</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"_Toc101532372" </w:instrText>
      </w:r>
      <w:r>
        <w:fldChar w:fldCharType="separate"/>
      </w:r>
      <w:r>
        <w:rPr>
          <w:rStyle w:val="55"/>
          <w:rFonts w:cstheme="majorHAnsi"/>
          <w:color w:val="152C46" w:themeColor="text1"/>
          <w14:textFill>
            <w14:solidFill>
              <w14:schemeClr w14:val="tx1"/>
            </w14:solidFill>
          </w14:textFill>
        </w:rPr>
        <w:t>10.6.4</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Appeal</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"_Toc101532373" </w:instrText>
      </w:r>
      <w:r>
        <w:fldChar w:fldCharType="separate"/>
      </w:r>
      <w:r>
        <w:rPr>
          <w:rStyle w:val="55"/>
          <w:rFonts w:cstheme="majorHAnsi"/>
          <w:color w:val="152C46" w:themeColor="text1"/>
          <w:lang w:eastAsia="en-GB"/>
          <w14:textFill>
            <w14:solidFill>
              <w14:schemeClr w14:val="tx1"/>
            </w14:solidFill>
          </w14:textFill>
        </w:rPr>
        <w:t>10.7</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lang w:eastAsia="en-GB"/>
          <w14:textFill>
            <w14:solidFill>
              <w14:schemeClr w14:val="tx1"/>
            </w14:solidFill>
          </w14:textFill>
        </w:rPr>
        <w:t>Evaluation of complaints and reviews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6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"_Toc101532374" </w:instrText>
      </w:r>
      <w:r>
        <w:fldChar w:fldCharType="separate"/>
      </w:r>
      <w:r>
        <w:rPr>
          <w:rStyle w:val="55"/>
          <w:rFonts w:cstheme="majorHAnsi"/>
          <w:color w:val="152C46" w:themeColor="text1"/>
          <w14:textFill>
            <w14:solidFill>
              <w14:schemeClr w14:val="tx1"/>
            </w14:solidFill>
          </w14:textFill>
        </w:rPr>
        <w:t>11.</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DATA REPORTING AND ADMINISTRATION</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"_Toc101532375" </w:instrText>
      </w:r>
      <w:r>
        <w:fldChar w:fldCharType="separate"/>
      </w:r>
      <w:r>
        <w:rPr>
          <w:rStyle w:val="55"/>
          <w:rFonts w:cstheme="majorHAnsi"/>
          <w:color w:val="152C46" w:themeColor="text1"/>
          <w14:textFill>
            <w14:solidFill>
              <w14:schemeClr w14:val="tx1"/>
            </w14:solidFill>
          </w14:textFill>
        </w:rPr>
        <w:t>11.1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Data collection and reporting</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"_Toc101532376" </w:instrText>
      </w:r>
      <w:r>
        <w:fldChar w:fldCharType="separate"/>
      </w:r>
      <w:r>
        <w:rPr>
          <w:rStyle w:val="55"/>
          <w:rFonts w:cstheme="majorHAnsi"/>
          <w:color w:val="152C46" w:themeColor="text1"/>
          <w14:textFill>
            <w14:solidFill>
              <w14:schemeClr w14:val="tx1"/>
            </w14:solidFill>
          </w14:textFill>
        </w:rPr>
        <w:t>11.2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Retention and Disposal of Claim Files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"_Toc101532377" </w:instrText>
      </w:r>
      <w:r>
        <w:fldChar w:fldCharType="separate"/>
      </w:r>
      <w:r>
        <w:rPr>
          <w:rStyle w:val="55"/>
          <w:rFonts w:cstheme="majorHAnsi"/>
          <w:color w:val="152C46" w:themeColor="text1"/>
          <w14:textFill>
            <w14:solidFill>
              <w14:schemeClr w14:val="tx1"/>
            </w14:solidFill>
          </w14:textFill>
        </w:rPr>
        <w:t>11.3</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Fraud</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"_Toc101532378" </w:instrText>
      </w:r>
      <w:r>
        <w:fldChar w:fldCharType="separate"/>
      </w:r>
      <w:r>
        <w:rPr>
          <w:rStyle w:val="55"/>
          <w:rFonts w:cstheme="majorHAnsi"/>
          <w:color w:val="152C46" w:themeColor="text1"/>
          <w14:textFill>
            <w14:solidFill>
              <w14:schemeClr w14:val="tx1"/>
            </w14:solidFill>
          </w14:textFill>
        </w:rPr>
        <w:t>11.4</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Liaison with ACC</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"_Toc101532379" </w:instrText>
      </w:r>
      <w:r>
        <w:fldChar w:fldCharType="separate"/>
      </w:r>
      <w:r>
        <w:rPr>
          <w:rStyle w:val="55"/>
          <w:rFonts w:cstheme="majorHAnsi"/>
          <w:color w:val="152C46" w:themeColor="text1"/>
          <w14:textFill>
            <w14:solidFill>
              <w14:schemeClr w14:val="tx1"/>
            </w14:solidFill>
          </w14:textFill>
        </w:rPr>
        <w:t>11.4.1</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Sensitive, serious injury and fatal claims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_Toc101532379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8"/>
        <w:tabs>
          <w:tab w:val="left" w:pos="1200"/>
          <w:tab w:val="right" w:leader="dot" w:pos="9629"/>
        </w:tabs>
        <w:rPr>
          <w:rFonts w:eastAsiaTheme="minorEastAsia" w:cstheme="minorBidi"/>
          <w:iCs w:val="0"/>
          <w:color w:val="152C46" w:themeColor="text1"/>
          <w:sz w:val="22"/>
          <w:szCs w:val="22"/>
          <w:lang w:val="en-AU" w:eastAsia="en-AU"/>
          <w14:textFill>
            <w14:solidFill>
              <w14:schemeClr w14:val="tx1"/>
            </w14:solidFill>
          </w14:textFill>
        </w:rPr>
      </w:pPr>
      <w:r>
        <w:fldChar w:fldCharType="begin"/>
      </w:r>
      <w:r>
        <w:instrText xml:space="preserve"> HYPERLINK \l "_Toc101532380" </w:instrText>
      </w:r>
      <w:r>
        <w:fldChar w:fldCharType="separate"/>
      </w:r>
      <w:r>
        <w:rPr>
          <w:rStyle w:val="55"/>
          <w:rFonts w:cstheme="majorHAnsi"/>
          <w:color w:val="152C46" w:themeColor="text1"/>
          <w14:textFill>
            <w14:solidFill>
              <w14:schemeClr w14:val="tx1"/>
            </w14:solidFill>
          </w14:textFill>
        </w:rPr>
        <w:t>11.4.2</w:t>
      </w:r>
      <w:r>
        <w:rPr>
          <w:rFonts w:eastAsiaTheme="minorEastAsia" w:cstheme="minorBidi"/>
          <w:iC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Key personnel changes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"_Toc101532381" </w:instrText>
      </w:r>
      <w:r>
        <w:fldChar w:fldCharType="separate"/>
      </w:r>
      <w:r>
        <w:rPr>
          <w:rStyle w:val="55"/>
          <w:rFonts w:cstheme="majorHAnsi"/>
          <w:color w:val="152C46" w:themeColor="text1"/>
          <w14:textFill>
            <w14:solidFill>
              <w14:schemeClr w14:val="tx1"/>
            </w14:solidFill>
          </w14:textFill>
        </w:rPr>
        <w:t>11.5</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Monitoring the injury management programme</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_Toc101532381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23</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600"/>
          <w:tab w:val="right" w:leader="dot" w:pos="9629"/>
        </w:tabs>
        <w:rPr>
          <w:rFonts w:eastAsiaTheme="minorEastAsia" w:cstheme="minorBidi"/>
          <w:b w:val="0"/>
          <w:bCs w:val="0"/>
          <w:caps w:val="0"/>
          <w:color w:val="152C46" w:themeColor="text1"/>
          <w:sz w:val="22"/>
          <w:szCs w:val="22"/>
          <w:lang w:val="en-AU" w:eastAsia="en-AU"/>
          <w14:textFill>
            <w14:solidFill>
              <w14:schemeClr w14:val="tx1"/>
            </w14:solidFill>
          </w14:textFill>
        </w:rPr>
      </w:pPr>
      <w:r>
        <w:fldChar w:fldCharType="begin"/>
      </w:r>
      <w:r>
        <w:instrText xml:space="preserve"> HYPERLINK \l "_Toc101532382" </w:instrText>
      </w:r>
      <w:r>
        <w:fldChar w:fldCharType="separate"/>
      </w:r>
      <w:r>
        <w:rPr>
          <w:rStyle w:val="55"/>
          <w:rFonts w:cstheme="majorHAnsi"/>
          <w:color w:val="152C46" w:themeColor="text1"/>
          <w14:textFill>
            <w14:solidFill>
              <w14:schemeClr w14:val="tx1"/>
            </w14:solidFill>
          </w14:textFill>
        </w:rPr>
        <w:t>12.</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APPENDICES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_Toc101532382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"_Toc101532383" </w:instrText>
      </w:r>
      <w:r>
        <w:fldChar w:fldCharType="separate"/>
      </w:r>
      <w:r>
        <w:rPr>
          <w:rStyle w:val="55"/>
          <w:rFonts w:cstheme="majorHAnsi"/>
          <w:color w:val="152C46" w:themeColor="text1"/>
          <w14:textFill>
            <w14:solidFill>
              <w14:schemeClr w14:val="tx1"/>
            </w14:solidFill>
          </w14:textFill>
        </w:rPr>
        <w:t>12.1</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1 – Claims overview</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_Toc101532383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24</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"_Toc101532384" </w:instrText>
      </w:r>
      <w:r>
        <w:fldChar w:fldCharType="separate"/>
      </w:r>
      <w:r>
        <w:rPr>
          <w:rStyle w:val="55"/>
          <w:rFonts w:cstheme="majorHAnsi"/>
          <w:color w:val="152C46" w:themeColor="text1"/>
          <w14:textFill>
            <w14:solidFill>
              <w14:schemeClr w14:val="tx1"/>
            </w14:solidFill>
          </w14:textFill>
        </w:rPr>
        <w:t>12.2</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2 – Summary of AEP timeframes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_Toc101532384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25</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"_Toc101532385" </w:instrText>
      </w:r>
      <w:r>
        <w:fldChar w:fldCharType="separate"/>
      </w:r>
      <w:r>
        <w:rPr>
          <w:rStyle w:val="55"/>
          <w:rFonts w:cstheme="majorHAnsi"/>
          <w:color w:val="152C46" w:themeColor="text1"/>
          <w14:textFill>
            <w14:solidFill>
              <w14:schemeClr w14:val="tx1"/>
            </w14:solidFill>
          </w14:textFill>
        </w:rPr>
        <w:t>12.3</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3 – Claims transfer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_Toc101532385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27</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"_Toc101532386" </w:instrText>
      </w:r>
      <w:r>
        <w:fldChar w:fldCharType="separate"/>
      </w:r>
      <w:r>
        <w:rPr>
          <w:rStyle w:val="55"/>
          <w:rFonts w:cstheme="majorHAnsi"/>
          <w:color w:val="152C46" w:themeColor="text1"/>
          <w14:textFill>
            <w14:solidFill>
              <w14:schemeClr w14:val="tx1"/>
            </w14:solidFill>
          </w14:textFill>
        </w:rPr>
        <w:t>12.4</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4 – Weekly compensation &amp; abatement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_Toc101532386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28</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"_Toc101532387" </w:instrText>
      </w:r>
      <w:r>
        <w:fldChar w:fldCharType="separate"/>
      </w:r>
      <w:r>
        <w:rPr>
          <w:rStyle w:val="55"/>
          <w:rFonts w:cstheme="majorHAnsi"/>
          <w:color w:val="152C46" w:themeColor="text1"/>
          <w14:textFill>
            <w14:solidFill>
              <w14:schemeClr w14:val="tx1"/>
            </w14:solidFill>
          </w14:textFill>
        </w:rPr>
        <w:t>12.5</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5 – Complaint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_Toc101532387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29</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"_Toc101532388" </w:instrText>
      </w:r>
      <w:r>
        <w:fldChar w:fldCharType="separate"/>
      </w:r>
      <w:r>
        <w:rPr>
          <w:rStyle w:val="55"/>
          <w:rFonts w:cstheme="majorHAnsi"/>
          <w:color w:val="152C46" w:themeColor="text1"/>
          <w14:textFill>
            <w14:solidFill>
              <w14:schemeClr w14:val="tx1"/>
            </w14:solidFill>
          </w14:textFill>
        </w:rPr>
        <w:t>12.6</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6 – Review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_Toc101532388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30</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7"/>
        <w:tabs>
          <w:tab w:val="left" w:pos="800"/>
          <w:tab w:val="right" w:leader="dot" w:pos="9629"/>
        </w:tabs>
        <w:rPr>
          <w:rFonts w:eastAsiaTheme="minorEastAsia" w:cstheme="minorBidi"/>
          <w:color w:val="152C46" w:themeColor="text1"/>
          <w:sz w:val="22"/>
          <w:szCs w:val="22"/>
          <w:lang w:val="en-AU" w:eastAsia="en-AU"/>
          <w14:textFill>
            <w14:solidFill>
              <w14:schemeClr w14:val="tx1"/>
            </w14:solidFill>
          </w14:textFill>
        </w:rPr>
      </w:pPr>
      <w:r>
        <w:fldChar w:fldCharType="begin"/>
      </w:r>
      <w:r>
        <w:instrText xml:space="preserve"> HYPERLINK \l "_Toc101532389" </w:instrText>
      </w:r>
      <w:r>
        <w:fldChar w:fldCharType="separate"/>
      </w:r>
      <w:r>
        <w:rPr>
          <w:rStyle w:val="55"/>
          <w:rFonts w:cstheme="majorHAnsi"/>
          <w:color w:val="152C46" w:themeColor="text1"/>
          <w14:textFill>
            <w14:solidFill>
              <w14:schemeClr w14:val="tx1"/>
            </w14:solidFill>
          </w14:textFill>
        </w:rPr>
        <w:t>12.7</w:t>
      </w:r>
      <w:r>
        <w:rPr>
          <w:rFonts w:eastAsiaTheme="minorEastAsia" w:cstheme="minorBidi"/>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Appendix 7 – Fraud process</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_Toc101532389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31</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146"/>
        <w:tabs>
          <w:tab w:val="left" w:pos="600"/>
          <w:tab w:val="right" w:leader="dot" w:pos="9629"/>
        </w:tabs>
        <w:rPr>
          <w:rFonts w:eastAsiaTheme="minorEastAsia" w:cstheme="minorBidi"/>
          <w:b w:val="0"/>
          <w:bCs w:val="0"/>
          <w:caps w:val="0"/>
          <w:sz w:val="22"/>
          <w:szCs w:val="22"/>
          <w:lang w:val="en-AU" w:eastAsia="en-AU"/>
        </w:rPr>
      </w:pPr>
      <w:r>
        <w:fldChar w:fldCharType="begin"/>
      </w:r>
      <w:r>
        <w:instrText xml:space="preserve"> HYPERLINK \l "_Toc101532390" </w:instrText>
      </w:r>
      <w:r>
        <w:fldChar w:fldCharType="separate"/>
      </w:r>
      <w:r>
        <w:rPr>
          <w:rStyle w:val="55"/>
          <w:rFonts w:cstheme="majorHAnsi"/>
          <w:color w:val="152C46" w:themeColor="text1"/>
          <w14:textFill>
            <w14:solidFill>
              <w14:schemeClr w14:val="tx1"/>
            </w14:solidFill>
          </w14:textFill>
        </w:rPr>
        <w:t>13.</w:t>
      </w:r>
      <w:r>
        <w:rPr>
          <w:rFonts w:eastAsiaTheme="minorEastAsia" w:cstheme="minorBidi"/>
          <w:b w:val="0"/>
          <w:bCs w:val="0"/>
          <w:caps w:val="0"/>
          <w:color w:val="152C46" w:themeColor="text1"/>
          <w:sz w:val="22"/>
          <w:szCs w:val="22"/>
          <w:lang w:val="en-AU" w:eastAsia="en-AU"/>
          <w14:textFill>
            <w14:solidFill>
              <w14:schemeClr w14:val="tx1"/>
            </w14:solidFill>
          </w14:textFill>
        </w:rPr>
        <w:tab/>
      </w:r>
      <w:r>
        <w:rPr>
          <w:rStyle w:val="55"/>
          <w:rFonts w:cstheme="majorHAnsi"/>
          <w:color w:val="152C46" w:themeColor="text1"/>
          <w14:textFill>
            <w14:solidFill>
              <w14:schemeClr w14:val="tx1"/>
            </w14:solidFill>
          </w14:textFill>
        </w:rPr>
        <w:t>Glossary</w:t>
      </w:r>
      <w:r>
        <w:rPr>
          <w:color w:val="152C46" w:themeColor="text1"/>
          <w14:textFill>
            <w14:solidFill>
              <w14:schemeClr w14:val="tx1"/>
            </w14:solidFill>
          </w14:textFill>
        </w:rPr>
        <w:tab/>
      </w:r>
      <w:r>
        <w:rPr>
          <w:color w:val="152C46" w:themeColor="text1"/>
          <w14:textFill>
            <w14:solidFill>
              <w14:schemeClr w14:val="tx1"/>
            </w14:solidFill>
          </w14:textFill>
        </w:rPr>
        <w:fldChar w:fldCharType="begin"/>
      </w:r>
      <w:r>
        <w:rPr>
          <w:color w:val="152C46" w:themeColor="text1"/>
          <w14:textFill>
            <w14:solidFill>
              <w14:schemeClr w14:val="tx1"/>
            </w14:solidFill>
          </w14:textFill>
        </w:rPr>
        <w:instrText xml:space="preserve"> PAGEREF _Toc101532390 \h </w:instrText>
      </w:r>
      <w:r>
        <w:rPr>
          <w:color w:val="152C46" w:themeColor="text1"/>
          <w14:textFill>
            <w14:solidFill>
              <w14:schemeClr w14:val="tx1"/>
            </w14:solidFill>
          </w14:textFill>
        </w:rPr>
        <w:fldChar w:fldCharType="separate"/>
      </w:r>
      <w:r>
        <w:rPr>
          <w:color w:val="152C46" w:themeColor="text1"/>
          <w14:textFill>
            <w14:solidFill>
              <w14:schemeClr w14:val="tx1"/>
            </w14:solidFill>
          </w14:textFill>
        </w:rPr>
        <w:t>32</w:t>
      </w:r>
      <w:r>
        <w:rPr>
          <w:color w:val="152C46" w:themeColor="text1"/>
          <w14:textFill>
            <w14:solidFill>
              <w14:schemeClr w14:val="tx1"/>
            </w14:solidFill>
          </w14:textFill>
        </w:rPr>
        <w:fldChar w:fldCharType="end"/>
      </w:r>
      <w:r>
        <w:rPr>
          <w:color w:val="152C46" w:themeColor="text1"/>
          <w14:textFill>
            <w14:solidFill>
              <w14:schemeClr w14:val="tx1"/>
            </w14:solidFill>
          </w14:textFill>
        </w:rPr>
        <w:fldChar w:fldCharType="end"/>
      </w:r>
    </w:p>
    <w:p>
      <w:pPr>
        <w:pStyle w:val="285"/>
        <w:rPr>
          <w:rFonts w:cstheme="majorHAnsi"/>
        </w:rPr>
      </w:pPr>
      <w:r>
        <w:rPr>
          <w:rFonts w:asciiTheme="minorHAnsi" w:hAnsiTheme="minorHAnsi" w:cstheme="minorHAnsi"/>
          <w:color w:val="152C46" w:themeColor="text1"/>
          <w14:textFill>
            <w14:solidFill>
              <w14:schemeClr w14:val="tx1"/>
            </w14:solidFill>
          </w14:textFill>
        </w:rPr>
        <w:fldChar w:fldCharType="end"/>
      </w:r>
    </w:p>
    <w:p>
      <w:pPr>
        <w:pStyle w:val="5"/>
        <w:rPr>
          <w:rFonts w:asciiTheme="majorHAnsi" w:hAnsiTheme="majorHAnsi" w:cstheme="majorHAnsi"/>
        </w:rPr>
      </w:pPr>
    </w:p>
    <w:p>
      <w:pPr>
        <w:pStyle w:val="5"/>
        <w:rPr>
          <w:rFonts w:asciiTheme="majorHAnsi" w:hAnsiTheme="majorHAnsi" w:cstheme="majorHAnsi"/>
        </w:rPr>
        <w:sectPr>
          <w:headerReference r:id="rId11" w:type="default"/>
          <w:footerReference r:id="rId12" w:type="default"/>
          <w:type w:val="oddPage"/>
          <w:pgSz w:w="11906" w:h="16838"/>
          <w:pgMar w:top="851" w:right="1133" w:bottom="1304" w:left="1134" w:header="680" w:footer="680" w:gutter="0"/>
          <w:pgNumType w:fmt="lowerRoman" w:start="1"/>
          <w:cols w:space="708" w:num="1"/>
          <w:docGrid w:linePitch="360" w:charSpace="0"/>
        </w:sectPr>
      </w:pPr>
    </w:p>
    <w:p>
      <w:pPr>
        <w:pStyle w:val="2"/>
        <w:rPr>
          <w:rFonts w:cstheme="majorHAnsi"/>
        </w:rPr>
      </w:pPr>
      <w:bookmarkStart w:id="2" w:name="_Toc101532315"/>
      <w:bookmarkStart w:id="3" w:name="_Toc101453848"/>
      <w:bookmarkStart w:id="4" w:name="_Toc181497380"/>
      <w:bookmarkStart w:id="5" w:name="_Toc1821632605"/>
      <w:bookmarkStart w:id="6" w:name="_Toc1511722837"/>
      <w:bookmarkStart w:id="7" w:name="_Toc90394235"/>
      <w:bookmarkStart w:id="8" w:name="_Toc409661286"/>
      <w:bookmarkStart w:id="9" w:name="_Toc90388330"/>
      <w:r>
        <w:rPr>
          <w:rFonts w:cstheme="majorHAnsi"/>
        </w:rPr>
        <w:t>INTRODUCTION</w:t>
      </w:r>
      <w:bookmarkEnd w:id="2"/>
      <w:bookmarkEnd w:id="3"/>
      <w:bookmarkEnd w:id="4"/>
      <w:bookmarkEnd w:id="5"/>
      <w:bookmarkEnd w:id="6"/>
      <w:bookmarkEnd w:id="7"/>
      <w:bookmarkEnd w:id="8"/>
      <w:bookmarkEnd w:id="9"/>
    </w:p>
    <w:p>
      <w:pPr>
        <w:pStyle w:val="5"/>
        <w:rPr>
          <w:rFonts w:asciiTheme="majorHAnsi" w:hAnsiTheme="majorHAnsi" w:cstheme="majorHAnsi"/>
          <w:lang w:eastAsia="en-GB"/>
        </w:rPr>
      </w:pPr>
      <w:r>
        <w:rPr>
          <w:rFonts w:asciiTheme="majorHAnsi" w:hAnsiTheme="majorHAnsi" w:cstheme="majorHAnsi"/>
          <w:lang w:eastAsia="en-GB"/>
        </w:rPr>
        <w:t xml:space="preserve">This manual describes and documents the processes and procedures in place to manage work injury claims under the Accredited Employer Programme. The processes and procedures focus on early reporting and intervention, rehabilitation and return to work strategies to assist the injured Kaimahi-staff make an early and safe return to work. </w:t>
      </w:r>
    </w:p>
    <w:p>
      <w:pPr>
        <w:spacing w:line="240" w:lineRule="auto"/>
        <w:contextualSpacing/>
        <w:rPr>
          <w:rFonts w:asciiTheme="majorHAnsi" w:hAnsiTheme="majorHAnsi" w:cstheme="majorHAnsi"/>
          <w:color w:val="002060"/>
          <w:sz w:val="22"/>
          <w:szCs w:val="22"/>
        </w:rPr>
      </w:pPr>
    </w:p>
    <w:p>
      <w:pPr>
        <w:pStyle w:val="2"/>
        <w:rPr>
          <w:rFonts w:cstheme="majorHAnsi"/>
        </w:rPr>
      </w:pPr>
      <w:bookmarkStart w:id="10" w:name="_Toc90394237"/>
      <w:bookmarkStart w:id="11" w:name="_Toc1925543702"/>
      <w:bookmarkStart w:id="12" w:name="_Toc101453849"/>
      <w:bookmarkStart w:id="13" w:name="_Toc101532316"/>
      <w:bookmarkStart w:id="14" w:name="_Toc2131978243"/>
      <w:bookmarkStart w:id="15" w:name="_Toc1767948091"/>
      <w:bookmarkStart w:id="16" w:name="_Toc90388332"/>
      <w:bookmarkStart w:id="17" w:name="_Toc813998868"/>
      <w:r>
        <w:rPr>
          <w:rFonts w:cstheme="majorHAnsi"/>
        </w:rPr>
        <w:t>COMMITMENT STATEMENT</w:t>
      </w:r>
      <w:bookmarkEnd w:id="10"/>
      <w:bookmarkEnd w:id="11"/>
      <w:bookmarkEnd w:id="12"/>
      <w:bookmarkEnd w:id="13"/>
      <w:bookmarkEnd w:id="14"/>
      <w:bookmarkEnd w:id="15"/>
      <w:bookmarkEnd w:id="16"/>
      <w:bookmarkEnd w:id="17"/>
    </w:p>
    <w:p>
      <w:pPr>
        <w:pStyle w:val="5"/>
        <w:rPr>
          <w:rFonts w:asciiTheme="majorHAnsi" w:hAnsiTheme="majorHAnsi" w:cstheme="majorHAnsi"/>
          <w:lang w:eastAsia="en-GB"/>
        </w:rPr>
      </w:pPr>
      <w:r>
        <w:rPr>
          <w:rFonts w:ascii="Arial" w:hAnsi="Arial" w:cstheme="majorHAnsi"/>
          <w:color w:val="auto"/>
          <w:lang w:eastAsia="en-GB"/>
        </w:rPr>
        <w:t>University of Otago</w:t>
      </w:r>
      <w:r>
        <w:rPr>
          <w:rFonts w:asciiTheme="majorHAnsi" w:hAnsiTheme="majorHAnsi" w:cstheme="majorHAnsi"/>
          <w:color w:val="auto"/>
          <w:lang w:eastAsia="en-GB"/>
        </w:rPr>
        <w:t xml:space="preserve"> is </w:t>
      </w:r>
      <w:r>
        <w:rPr>
          <w:rFonts w:asciiTheme="majorHAnsi" w:hAnsiTheme="majorHAnsi" w:cstheme="majorHAnsi"/>
          <w:lang w:eastAsia="en-GB"/>
        </w:rPr>
        <w:t>committed to ensuring a safe and healthy environment for all our people. However, should work related injuries/illness occur</w:t>
      </w:r>
      <w:r>
        <w:rPr>
          <w:rFonts w:asciiTheme="majorHAnsi" w:hAnsiTheme="majorHAnsi" w:cstheme="majorHAnsi"/>
          <w:color w:val="auto"/>
          <w:lang w:eastAsia="en-GB"/>
        </w:rPr>
        <w:t xml:space="preserve">, </w:t>
      </w:r>
      <w:r>
        <w:rPr>
          <w:rFonts w:ascii="Arial" w:hAnsi="Arial" w:cstheme="majorHAnsi"/>
          <w:color w:val="auto"/>
          <w:lang w:eastAsia="en-GB"/>
        </w:rPr>
        <w:t>University of Otago</w:t>
      </w:r>
      <w:r>
        <w:rPr>
          <w:rFonts w:asciiTheme="majorHAnsi" w:hAnsiTheme="majorHAnsi" w:cstheme="majorHAnsi"/>
          <w:lang w:eastAsia="en-GB"/>
        </w:rPr>
        <w:t>‘s effective injury management systems ensure our people return to full health and fitness wherever possible, and to resume their normal work activities in a safe and timely way. We are also committed to supporting rehabilitation and return to work programmes for employees who experience non-work-related injuries and illness. Alternative duties and reduction of hours will be provided wherever possible.</w:t>
      </w:r>
    </w:p>
    <w:p>
      <w:pPr>
        <w:pStyle w:val="5"/>
        <w:rPr>
          <w:rFonts w:asciiTheme="majorHAnsi" w:hAnsiTheme="majorHAnsi" w:cstheme="majorHAnsi"/>
          <w:lang w:eastAsia="en-GB"/>
        </w:rPr>
      </w:pPr>
    </w:p>
    <w:p>
      <w:pPr>
        <w:pStyle w:val="2"/>
        <w:rPr>
          <w:rFonts w:cstheme="majorHAnsi"/>
        </w:rPr>
      </w:pPr>
      <w:bookmarkStart w:id="18" w:name="_Toc90388333"/>
      <w:bookmarkStart w:id="19" w:name="_Toc90394238"/>
      <w:bookmarkStart w:id="20" w:name="_Toc1973136962"/>
      <w:bookmarkStart w:id="21" w:name="_Toc1926782993"/>
      <w:bookmarkStart w:id="22" w:name="_Toc101453850"/>
      <w:bookmarkStart w:id="23" w:name="_Toc101532317"/>
      <w:bookmarkStart w:id="24" w:name="_Toc1372679031"/>
      <w:bookmarkStart w:id="25" w:name="_Toc303290677"/>
      <w:r>
        <w:rPr>
          <w:rFonts w:cstheme="majorHAnsi"/>
        </w:rPr>
        <w:t>INJURY MANAGEMENT PROGRAMME INFORMATION</w:t>
      </w:r>
      <w:bookmarkEnd w:id="18"/>
      <w:bookmarkEnd w:id="19"/>
      <w:bookmarkEnd w:id="20"/>
      <w:bookmarkEnd w:id="21"/>
      <w:bookmarkEnd w:id="22"/>
      <w:bookmarkEnd w:id="23"/>
      <w:bookmarkEnd w:id="24"/>
      <w:bookmarkEnd w:id="25"/>
    </w:p>
    <w:p>
      <w:pPr>
        <w:pStyle w:val="5"/>
        <w:rPr>
          <w:rFonts w:asciiTheme="majorHAnsi" w:hAnsiTheme="majorHAnsi" w:cstheme="majorHAnsi"/>
          <w:lang w:eastAsia="en-GB"/>
        </w:rPr>
      </w:pP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offers an Injury Management Programme that is based on best practice rehabilitation processes and is delivered in conjunction with Howden Care. The programme is delivered within the following framework:</w:t>
      </w:r>
    </w:p>
    <w:p>
      <w:pPr>
        <w:pStyle w:val="292"/>
        <w:rPr>
          <w:rFonts w:asciiTheme="majorHAnsi" w:hAnsiTheme="majorHAnsi" w:cstheme="majorHAnsi"/>
        </w:rPr>
      </w:pPr>
      <w:r>
        <w:rPr>
          <w:rFonts w:asciiTheme="majorHAnsi" w:hAnsiTheme="majorHAnsi" w:cstheme="majorHAnsi"/>
        </w:rPr>
        <w:t>Accident Compensation Act 2001</w:t>
      </w:r>
    </w:p>
    <w:p>
      <w:pPr>
        <w:pStyle w:val="292"/>
        <w:rPr>
          <w:rFonts w:asciiTheme="majorHAnsi" w:hAnsiTheme="majorHAnsi" w:cstheme="majorHAnsi"/>
        </w:rPr>
      </w:pPr>
      <w:r>
        <w:rPr>
          <w:rFonts w:asciiTheme="majorHAnsi" w:hAnsiTheme="majorHAnsi" w:cstheme="majorHAnsi"/>
        </w:rPr>
        <w:t>Accredited Employer Programme Accreditation Agreement</w:t>
      </w:r>
    </w:p>
    <w:p>
      <w:pPr>
        <w:pStyle w:val="292"/>
        <w:rPr>
          <w:rFonts w:asciiTheme="majorHAnsi" w:hAnsiTheme="majorHAnsi" w:cstheme="majorHAnsi"/>
        </w:rPr>
      </w:pPr>
      <w:r>
        <w:rPr>
          <w:rFonts w:asciiTheme="majorHAnsi" w:hAnsiTheme="majorHAnsi" w:cstheme="majorHAnsi"/>
        </w:rPr>
        <w:t xml:space="preserve">Accredited Employer Programme Standards </w:t>
      </w:r>
    </w:p>
    <w:p>
      <w:pPr>
        <w:pStyle w:val="292"/>
        <w:rPr>
          <w:rFonts w:asciiTheme="majorHAnsi" w:hAnsiTheme="majorHAnsi" w:cstheme="majorHAnsi"/>
        </w:rPr>
      </w:pPr>
      <w:r>
        <w:rPr>
          <w:rFonts w:asciiTheme="majorHAnsi" w:hAnsiTheme="majorHAnsi" w:cstheme="majorHAnsi"/>
        </w:rPr>
        <w:t>Code of Claimant Rights</w:t>
      </w:r>
    </w:p>
    <w:p>
      <w:pPr>
        <w:pStyle w:val="292"/>
        <w:rPr>
          <w:rFonts w:asciiTheme="majorHAnsi" w:hAnsiTheme="majorHAnsi" w:cstheme="majorHAnsi"/>
        </w:rPr>
      </w:pPr>
      <w:r>
        <w:rPr>
          <w:rFonts w:asciiTheme="majorHAnsi" w:hAnsiTheme="majorHAnsi" w:cstheme="majorHAnsi"/>
        </w:rPr>
        <w:t>Privacy Act 2020</w:t>
      </w:r>
    </w:p>
    <w:p>
      <w:pPr>
        <w:pStyle w:val="292"/>
        <w:rPr>
          <w:rFonts w:asciiTheme="majorHAnsi" w:hAnsiTheme="majorHAnsi" w:cstheme="majorHAnsi"/>
        </w:rPr>
      </w:pPr>
      <w:r>
        <w:rPr>
          <w:rFonts w:asciiTheme="majorHAnsi" w:hAnsiTheme="majorHAnsi" w:cstheme="majorHAnsi"/>
        </w:rPr>
        <w:t>Health Information Privacy Code 2020</w:t>
      </w:r>
    </w:p>
    <w:p>
      <w:pPr>
        <w:pStyle w:val="7"/>
        <w:rPr>
          <w:rFonts w:cstheme="majorHAnsi"/>
        </w:rPr>
      </w:pPr>
      <w:bookmarkStart w:id="26" w:name="_Toc385523862"/>
      <w:bookmarkStart w:id="27" w:name="_Toc2075723424"/>
      <w:bookmarkStart w:id="28" w:name="_Toc2128170402"/>
      <w:bookmarkStart w:id="29" w:name="_Toc90394239"/>
      <w:bookmarkStart w:id="30" w:name="_Toc101453851"/>
      <w:bookmarkStart w:id="31" w:name="_Toc2003678978"/>
      <w:bookmarkStart w:id="32" w:name="_Toc90388334"/>
      <w:bookmarkStart w:id="33" w:name="_Toc101532318"/>
      <w:r>
        <w:rPr>
          <w:rFonts w:cstheme="majorHAnsi"/>
        </w:rPr>
        <w:t>3.1</w:t>
      </w:r>
      <w:r>
        <w:rPr>
          <w:rFonts w:cstheme="majorHAnsi"/>
        </w:rPr>
        <w:tab/>
      </w:r>
      <w:r>
        <w:rPr>
          <w:rFonts w:cstheme="majorHAnsi"/>
        </w:rPr>
        <w:t>Kaimahi-staff awareness</w:t>
      </w:r>
      <w:bookmarkEnd w:id="26"/>
      <w:bookmarkEnd w:id="27"/>
      <w:bookmarkEnd w:id="28"/>
      <w:bookmarkEnd w:id="29"/>
      <w:bookmarkEnd w:id="30"/>
      <w:bookmarkEnd w:id="31"/>
      <w:bookmarkEnd w:id="32"/>
      <w:bookmarkEnd w:id="33"/>
    </w:p>
    <w:p>
      <w:pPr>
        <w:pStyle w:val="5"/>
        <w:rPr>
          <w:rFonts w:asciiTheme="majorHAnsi" w:hAnsiTheme="majorHAnsi" w:cstheme="majorHAnsi"/>
        </w:rPr>
      </w:pPr>
      <w:r>
        <w:rPr>
          <w:rFonts w:asciiTheme="majorHAnsi" w:hAnsiTheme="majorHAnsi" w:cstheme="majorHAnsi"/>
        </w:rPr>
        <w:t>Employees are advised about how we manage workplace injuries in different ways:</w:t>
      </w:r>
    </w:p>
    <w:p>
      <w:pPr>
        <w:pStyle w:val="292"/>
        <w:numPr>
          <w:ilvl w:val="0"/>
          <w:numId w:val="12"/>
        </w:numPr>
        <w:rPr>
          <w:rFonts w:asciiTheme="majorHAnsi" w:hAnsiTheme="majorHAnsi" w:cstheme="majorHAnsi"/>
          <w:lang w:eastAsia="en-GB"/>
        </w:rPr>
      </w:pPr>
      <w:r>
        <w:rPr>
          <w:rFonts w:asciiTheme="majorHAnsi" w:hAnsiTheme="majorHAnsi" w:cstheme="majorHAnsi"/>
          <w:lang w:eastAsia="en-GB"/>
        </w:rPr>
        <w:t xml:space="preserve">All employees are issued with information to explain that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is an Accredited Employer, and what this means for any injury claims.</w:t>
      </w:r>
    </w:p>
    <w:p>
      <w:pPr>
        <w:pStyle w:val="292"/>
        <w:numPr>
          <w:ilvl w:val="0"/>
          <w:numId w:val="12"/>
        </w:numPr>
        <w:rPr>
          <w:rFonts w:asciiTheme="majorHAnsi" w:hAnsiTheme="majorHAnsi" w:cstheme="majorHAnsi"/>
          <w:lang w:eastAsia="en-GB"/>
        </w:rPr>
      </w:pPr>
      <w:r>
        <w:rPr>
          <w:rFonts w:asciiTheme="majorHAnsi" w:hAnsiTheme="majorHAnsi" w:cstheme="majorHAnsi"/>
          <w:lang w:eastAsia="en-GB"/>
        </w:rPr>
        <w:t>The information includes what to do if they are injured at work and contact details for Howden Care. This is done initially at induction and with an annual reminder.</w:t>
      </w:r>
    </w:p>
    <w:p>
      <w:pPr>
        <w:pStyle w:val="292"/>
        <w:numPr>
          <w:ilvl w:val="0"/>
          <w:numId w:val="12"/>
        </w:numPr>
        <w:rPr>
          <w:rFonts w:asciiTheme="majorHAnsi" w:hAnsiTheme="majorHAnsi" w:cstheme="majorHAnsi"/>
          <w:lang w:eastAsia="en-GB"/>
        </w:rPr>
      </w:pPr>
      <w:r>
        <w:rPr>
          <w:rFonts w:asciiTheme="majorHAnsi" w:hAnsiTheme="majorHAnsi" w:cstheme="majorHAnsi"/>
          <w:lang w:eastAsia="en-GB"/>
        </w:rPr>
        <w:t xml:space="preserve">Information is posted about work injuries and how to access support can be found at </w:t>
      </w:r>
      <w:r>
        <w:fldChar w:fldCharType="begin"/>
      </w:r>
      <w:r>
        <w:instrText xml:space="preserve"> HYPERLINK "https://www.otago.ac.nz/health-safety/management/acc-accredited-employer-programme/" </w:instrText>
      </w:r>
      <w:r>
        <w:fldChar w:fldCharType="separate"/>
      </w:r>
      <w:r>
        <w:rPr>
          <w:rStyle w:val="55"/>
          <w:rFonts w:asciiTheme="majorHAnsi" w:hAnsiTheme="majorHAnsi" w:cstheme="majorHAnsi"/>
          <w:lang w:eastAsia="en-GB"/>
        </w:rPr>
        <w:t>https://www.otago.ac.nz/health-safety/management/acc-accredited-employer-programme/</w:t>
      </w:r>
      <w:r>
        <w:rPr>
          <w:rStyle w:val="55"/>
          <w:rFonts w:asciiTheme="majorHAnsi" w:hAnsiTheme="majorHAnsi" w:cstheme="majorHAnsi"/>
          <w:lang w:eastAsia="en-GB"/>
        </w:rPr>
        <w:fldChar w:fldCharType="end"/>
      </w:r>
      <w:r>
        <w:rPr>
          <w:rFonts w:asciiTheme="majorHAnsi" w:hAnsiTheme="majorHAnsi" w:cstheme="majorHAnsi"/>
          <w:lang w:eastAsia="en-GB"/>
        </w:rPr>
        <w:t>. For additional information, please contact the Occupational Health Nurses ohn@otago.ac.nz</w:t>
      </w:r>
    </w:p>
    <w:p>
      <w:pPr>
        <w:pStyle w:val="292"/>
        <w:numPr>
          <w:ilvl w:val="0"/>
          <w:numId w:val="12"/>
        </w:numPr>
        <w:rPr>
          <w:rFonts w:asciiTheme="majorHAnsi" w:hAnsiTheme="majorHAnsi" w:cstheme="majorHAnsi"/>
          <w:lang w:eastAsia="en-GB"/>
        </w:rPr>
      </w:pPr>
      <w:r>
        <w:rPr>
          <w:rFonts w:asciiTheme="majorHAnsi" w:hAnsiTheme="majorHAnsi" w:cstheme="majorHAnsi"/>
          <w:lang w:eastAsia="en-GB"/>
        </w:rPr>
        <w:t>We meet with managers, and Kaimahi-staff and union groups, and hold safety and wellbeing committee meetings to explain the Accredited Employer Programme, claim lodgement and management processes, and the rehabilitation support available.</w:t>
      </w:r>
    </w:p>
    <w:p>
      <w:pPr>
        <w:pStyle w:val="292"/>
        <w:numPr>
          <w:ilvl w:val="0"/>
          <w:numId w:val="12"/>
        </w:numPr>
        <w:rPr>
          <w:rFonts w:asciiTheme="majorHAnsi" w:hAnsiTheme="majorHAnsi" w:cstheme="majorHAnsi"/>
          <w:lang w:eastAsia="en-GB"/>
        </w:rPr>
      </w:pPr>
      <w:r>
        <w:rPr>
          <w:rFonts w:asciiTheme="majorHAnsi" w:hAnsiTheme="majorHAnsi" w:cstheme="majorHAnsi"/>
          <w:lang w:eastAsia="en-GB"/>
        </w:rPr>
        <w:t>We run rehabilitation training workshops and discuss how we manage injury and or illness issues at management meetings.</w:t>
      </w:r>
    </w:p>
    <w:p>
      <w:pPr>
        <w:pStyle w:val="292"/>
        <w:numPr>
          <w:ilvl w:val="0"/>
          <w:numId w:val="12"/>
        </w:numPr>
        <w:rPr>
          <w:rFonts w:eastAsia="Times New Roman" w:asciiTheme="majorHAnsi" w:hAnsiTheme="majorHAnsi" w:cstheme="majorHAnsi"/>
          <w:color w:val="000000"/>
          <w:lang w:eastAsia="en-GB"/>
        </w:rPr>
      </w:pPr>
      <w:r>
        <w:rPr>
          <w:rFonts w:eastAsia="Times New Roman" w:asciiTheme="majorHAnsi" w:hAnsiTheme="majorHAnsi" w:cstheme="majorHAnsi"/>
          <w:lang w:eastAsia="en-GB"/>
        </w:rPr>
        <w:t xml:space="preserve">Howden Care website provides information about the programme, the claims process and forms on their website: </w:t>
      </w:r>
      <w:r>
        <w:fldChar w:fldCharType="begin"/>
      </w:r>
      <w:r>
        <w:instrText xml:space="preserve"> HYPERLINK "https://www.howdengroup.com/nz-en/Howden-care-new-zealand" </w:instrText>
      </w:r>
      <w:r>
        <w:fldChar w:fldCharType="separate"/>
      </w:r>
      <w:r>
        <w:rPr>
          <w:rStyle w:val="55"/>
          <w:rFonts w:asciiTheme="majorHAnsi" w:hAnsiTheme="majorHAnsi" w:cstheme="majorHAnsi"/>
        </w:rPr>
        <w:t>https://www.howdengroup.com/nz-en/Howden-care-new-zealand</w:t>
      </w:r>
      <w:r>
        <w:rPr>
          <w:rStyle w:val="55"/>
          <w:rFonts w:asciiTheme="majorHAnsi" w:hAnsiTheme="majorHAnsi" w:cstheme="majorHAnsi"/>
        </w:rPr>
        <w:fldChar w:fldCharType="end"/>
      </w:r>
    </w:p>
    <w:p>
      <w:pPr>
        <w:pStyle w:val="5"/>
        <w:rPr>
          <w:rFonts w:asciiTheme="majorHAnsi" w:hAnsiTheme="majorHAnsi" w:cstheme="majorHAnsi"/>
        </w:rPr>
      </w:pP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5"/>
        <w:rPr>
          <w:rFonts w:asciiTheme="majorHAnsi" w:hAnsiTheme="majorHAnsi" w:cstheme="majorHAnsi"/>
        </w:rPr>
        <w:sectPr>
          <w:headerReference r:id="rId13" w:type="default"/>
          <w:footerReference r:id="rId14" w:type="default"/>
          <w:type w:val="oddPage"/>
          <w:pgSz w:w="11906" w:h="16838"/>
          <w:pgMar w:top="992" w:right="1134" w:bottom="992" w:left="1134" w:header="454" w:footer="680" w:gutter="0"/>
          <w:pgNumType w:start="1"/>
          <w:cols w:space="708" w:num="1"/>
          <w:docGrid w:linePitch="360" w:charSpace="0"/>
        </w:sectPr>
      </w:pPr>
    </w:p>
    <w:p>
      <w:pPr>
        <w:pStyle w:val="2"/>
        <w:rPr>
          <w:rFonts w:cstheme="majorHAnsi"/>
        </w:rPr>
      </w:pPr>
      <w:bookmarkStart w:id="34" w:name="_Toc90388335"/>
      <w:bookmarkStart w:id="35" w:name="_Toc90394240"/>
      <w:bookmarkStart w:id="36" w:name="_Toc1623451799"/>
      <w:bookmarkStart w:id="37" w:name="_Toc101453852"/>
      <w:bookmarkStart w:id="38" w:name="_Toc928905709"/>
      <w:bookmarkStart w:id="39" w:name="_Toc162505790"/>
      <w:bookmarkStart w:id="40" w:name="_Toc1362891867"/>
      <w:bookmarkStart w:id="41" w:name="_Toc101532319"/>
      <w:r>
        <w:rPr>
          <w:rFonts w:cstheme="majorHAnsi"/>
        </w:rPr>
        <w:t>ROLES AND RESPONSIBILITIES</w:t>
      </w:r>
      <w:bookmarkEnd w:id="34"/>
      <w:bookmarkEnd w:id="35"/>
      <w:bookmarkEnd w:id="36"/>
      <w:bookmarkEnd w:id="37"/>
      <w:bookmarkEnd w:id="38"/>
      <w:bookmarkEnd w:id="39"/>
      <w:bookmarkEnd w:id="40"/>
      <w:bookmarkEnd w:id="41"/>
    </w:p>
    <w:tbl>
      <w:tblPr>
        <w:tblStyle w:val="115"/>
        <w:tblW w:w="0" w:type="auto"/>
        <w:tblInd w:w="0" w:type="dxa"/>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Layout w:type="autofit"/>
        <w:tblCellMar>
          <w:top w:w="0" w:type="dxa"/>
          <w:left w:w="108" w:type="dxa"/>
          <w:bottom w:w="0" w:type="dxa"/>
          <w:right w:w="108" w:type="dxa"/>
        </w:tblCellMar>
      </w:tblPr>
      <w:tblGrid>
        <w:gridCol w:w="2138"/>
        <w:gridCol w:w="7716"/>
      </w:tblGrid>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rPr>
          <w:trHeight w:val="340" w:hRule="atLeast"/>
        </w:trPr>
        <w:tc>
          <w:tcPr>
            <w:tcW w:w="1696" w:type="dxa"/>
            <w:shd w:val="clear" w:color="auto" w:fill="152C46" w:themeFill="text1"/>
            <w:vAlign w:val="center"/>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 xml:space="preserve">Role </w:t>
            </w:r>
          </w:p>
        </w:tc>
        <w:tc>
          <w:tcPr>
            <w:tcW w:w="7942" w:type="dxa"/>
            <w:shd w:val="clear" w:color="auto" w:fill="152C46" w:themeFill="text1"/>
            <w:vAlign w:val="center"/>
          </w:tcPr>
          <w:p>
            <w:pPr>
              <w:spacing w:before="120" w:after="120" w:line="240" w:lineRule="auto"/>
              <w:contextualSpacing/>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Responsibilities</w:t>
            </w:r>
          </w:p>
        </w:tc>
      </w:tr>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c>
          <w:tcPr>
            <w:tcW w:w="169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Injured</w:t>
            </w:r>
          </w:p>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Kaimahi-staff</w:t>
            </w:r>
          </w:p>
        </w:tc>
        <w:tc>
          <w:tcPr>
            <w:tcW w:w="7942" w:type="dxa"/>
            <w:shd w:val="clear" w:color="auto" w:fill="FFFFFF" w:themeFill="background1"/>
          </w:tcPr>
          <w:p>
            <w:pPr>
              <w:pStyle w:val="292"/>
              <w:numPr>
                <w:ilvl w:val="0"/>
                <w:numId w:val="13"/>
              </w:numPr>
              <w:spacing w:before="120" w:after="120"/>
              <w:rPr>
                <w:rFonts w:asciiTheme="majorHAnsi" w:hAnsiTheme="majorHAnsi" w:cstheme="majorHAnsi"/>
              </w:rPr>
            </w:pPr>
            <w:r>
              <w:rPr>
                <w:rFonts w:asciiTheme="majorHAnsi" w:hAnsiTheme="majorHAnsi" w:cstheme="majorHAnsi"/>
              </w:rPr>
              <w:t>Get medical treatment.</w:t>
            </w:r>
          </w:p>
          <w:p>
            <w:pPr>
              <w:pStyle w:val="292"/>
              <w:numPr>
                <w:ilvl w:val="0"/>
                <w:numId w:val="13"/>
              </w:numPr>
              <w:spacing w:before="120" w:after="120"/>
              <w:rPr>
                <w:rFonts w:asciiTheme="majorHAnsi" w:hAnsiTheme="majorHAnsi" w:cstheme="majorHAnsi"/>
              </w:rPr>
            </w:pPr>
            <w:r>
              <w:rPr>
                <w:rFonts w:asciiTheme="majorHAnsi" w:hAnsiTheme="majorHAnsi" w:cstheme="majorHAnsi"/>
              </w:rPr>
              <w:t xml:space="preserve">Advise treatment providers that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is an Accredited Employer and that claim documents and invoices should be sent to Howden Care</w:t>
            </w:r>
          </w:p>
          <w:p>
            <w:pPr>
              <w:pStyle w:val="292"/>
              <w:numPr>
                <w:ilvl w:val="0"/>
                <w:numId w:val="13"/>
              </w:numPr>
              <w:spacing w:before="120" w:after="120"/>
              <w:rPr>
                <w:rFonts w:asciiTheme="majorHAnsi" w:hAnsiTheme="majorHAnsi" w:cstheme="majorHAnsi"/>
              </w:rPr>
            </w:pPr>
            <w:r>
              <w:rPr>
                <w:rFonts w:asciiTheme="majorHAnsi" w:hAnsiTheme="majorHAnsi" w:cstheme="majorHAnsi"/>
              </w:rPr>
              <w:t xml:space="preserve">Report the accident/incident and complete a work injury report.  Enter your incident in Vault at: </w:t>
            </w:r>
            <w:r>
              <w:fldChar w:fldCharType="begin"/>
            </w:r>
            <w:r>
              <w:instrText xml:space="preserve"> HYPERLINK "https://otagouni-00.vaultgrc.com/kiosk/index?id=ytdulz6yd8cxhwk2n421inw2n7hy5dwz9r19o0gryi9rkdfbjsiyxbk7zrnq6w01&amp;cid=OTAGOUNI" </w:instrText>
            </w:r>
            <w:r>
              <w:fldChar w:fldCharType="separate"/>
            </w:r>
            <w:r>
              <w:rPr>
                <w:rStyle w:val="55"/>
                <w:rFonts w:asciiTheme="majorHAnsi" w:hAnsiTheme="majorHAnsi" w:cstheme="majorHAnsi"/>
              </w:rPr>
              <w:t>https://otagouni-00.vaultgrc.com/kiosk/index?id=ytdulz6yd8cxhwk2n421inw2n7hy5dwz9r19o0gryi9rkdfbjsiyxbk7zrnq6w01&amp;cid=OTAGOUNI</w:t>
            </w:r>
            <w:r>
              <w:rPr>
                <w:rStyle w:val="55"/>
                <w:rFonts w:asciiTheme="majorHAnsi" w:hAnsiTheme="majorHAnsi" w:cstheme="majorHAnsi"/>
              </w:rPr>
              <w:fldChar w:fldCharType="end"/>
            </w:r>
          </w:p>
          <w:p>
            <w:pPr>
              <w:pStyle w:val="292"/>
              <w:numPr>
                <w:ilvl w:val="0"/>
                <w:numId w:val="13"/>
              </w:numPr>
              <w:spacing w:before="120" w:after="120"/>
              <w:rPr>
                <w:rFonts w:asciiTheme="majorHAnsi" w:hAnsiTheme="majorHAnsi" w:cstheme="majorHAnsi"/>
              </w:rPr>
            </w:pPr>
            <w:r>
              <w:rPr>
                <w:rFonts w:asciiTheme="majorHAnsi" w:hAnsiTheme="majorHAnsi" w:cstheme="majorHAnsi"/>
              </w:rPr>
              <w:t>Maintain regular contact with Case Manager</w:t>
            </w:r>
          </w:p>
          <w:p>
            <w:pPr>
              <w:pStyle w:val="292"/>
              <w:numPr>
                <w:ilvl w:val="0"/>
                <w:numId w:val="13"/>
              </w:numPr>
              <w:spacing w:before="120" w:after="120"/>
              <w:rPr>
                <w:rFonts w:asciiTheme="majorHAnsi" w:hAnsiTheme="majorHAnsi" w:cstheme="majorHAnsi"/>
              </w:rPr>
            </w:pPr>
            <w:r>
              <w:rPr>
                <w:rFonts w:asciiTheme="majorHAnsi" w:hAnsiTheme="majorHAnsi" w:cstheme="majorHAnsi"/>
              </w:rPr>
              <w:t>Provide your Line manager and Case Manager with ACC claim form and medical certificates for any incapacity.</w:t>
            </w:r>
          </w:p>
          <w:p>
            <w:pPr>
              <w:pStyle w:val="292"/>
              <w:numPr>
                <w:ilvl w:val="0"/>
                <w:numId w:val="13"/>
              </w:numPr>
              <w:spacing w:before="120" w:after="120"/>
              <w:rPr>
                <w:rFonts w:asciiTheme="majorHAnsi" w:hAnsiTheme="majorHAnsi" w:cstheme="majorHAnsi"/>
              </w:rPr>
            </w:pPr>
            <w:r>
              <w:rPr>
                <w:rFonts w:asciiTheme="majorHAnsi" w:hAnsiTheme="majorHAnsi" w:cstheme="majorHAnsi"/>
              </w:rPr>
              <w:t>Participate in rehabilitation, medical reviews and other referrals as requested.</w:t>
            </w:r>
          </w:p>
          <w:p>
            <w:pPr>
              <w:pStyle w:val="292"/>
              <w:numPr>
                <w:ilvl w:val="0"/>
                <w:numId w:val="13"/>
              </w:numPr>
              <w:spacing w:before="120" w:after="120"/>
              <w:rPr>
                <w:rFonts w:asciiTheme="majorHAnsi" w:hAnsiTheme="majorHAnsi" w:cstheme="majorHAnsi"/>
              </w:rPr>
            </w:pPr>
            <w:r>
              <w:rPr>
                <w:rFonts w:asciiTheme="majorHAnsi" w:hAnsiTheme="majorHAnsi" w:cstheme="majorHAnsi"/>
              </w:rPr>
              <w:t>If a return to normal hours and/or duties is not possible, participate in modified return to work duties in line with medical advice and as agreed with Case Manager and line manager.</w:t>
            </w:r>
          </w:p>
          <w:p>
            <w:pPr>
              <w:pStyle w:val="292"/>
              <w:numPr>
                <w:ilvl w:val="0"/>
                <w:numId w:val="13"/>
              </w:numPr>
              <w:spacing w:before="120" w:after="120"/>
              <w:rPr>
                <w:rFonts w:asciiTheme="majorHAnsi" w:hAnsiTheme="majorHAnsi" w:cstheme="majorHAnsi"/>
              </w:rPr>
            </w:pPr>
            <w:r>
              <w:rPr>
                <w:rFonts w:asciiTheme="majorHAnsi" w:hAnsiTheme="majorHAnsi" w:cstheme="majorHAnsi"/>
              </w:rPr>
              <w:t>Take responsibility and actively participate in their own rehabilitation</w:t>
            </w:r>
          </w:p>
        </w:tc>
      </w:tr>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c>
          <w:tcPr>
            <w:tcW w:w="169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Line Manager</w:t>
            </w:r>
          </w:p>
        </w:tc>
        <w:tc>
          <w:tcPr>
            <w:tcW w:w="7942" w:type="dxa"/>
            <w:shd w:val="clear" w:color="auto" w:fill="FFFFFF" w:themeFill="background1"/>
          </w:tcPr>
          <w:p>
            <w:pPr>
              <w:pStyle w:val="292"/>
              <w:numPr>
                <w:ilvl w:val="0"/>
                <w:numId w:val="13"/>
              </w:numPr>
              <w:spacing w:before="120" w:after="120"/>
              <w:rPr>
                <w:rFonts w:asciiTheme="majorHAnsi" w:hAnsiTheme="majorHAnsi" w:cstheme="majorHAnsi"/>
              </w:rPr>
            </w:pPr>
            <w:r>
              <w:rPr>
                <w:rFonts w:asciiTheme="majorHAnsi" w:hAnsiTheme="majorHAnsi" w:cstheme="majorHAnsi"/>
              </w:rPr>
              <w:t>Maintain regular contact with the injured employee.</w:t>
            </w:r>
          </w:p>
          <w:p>
            <w:pPr>
              <w:pStyle w:val="292"/>
              <w:numPr>
                <w:ilvl w:val="0"/>
                <w:numId w:val="13"/>
              </w:numPr>
              <w:spacing w:before="120" w:after="120"/>
              <w:rPr>
                <w:rFonts w:asciiTheme="majorHAnsi" w:hAnsiTheme="majorHAnsi" w:cstheme="majorHAnsi"/>
              </w:rPr>
            </w:pPr>
            <w:r>
              <w:rPr>
                <w:rFonts w:asciiTheme="majorHAnsi" w:hAnsiTheme="majorHAnsi" w:cstheme="majorHAnsi"/>
              </w:rPr>
              <w:t xml:space="preserve">Provide return to work duties. </w:t>
            </w:r>
          </w:p>
          <w:p>
            <w:pPr>
              <w:pStyle w:val="292"/>
              <w:numPr>
                <w:ilvl w:val="0"/>
                <w:numId w:val="13"/>
              </w:numPr>
              <w:spacing w:before="120" w:after="120"/>
              <w:rPr>
                <w:rFonts w:asciiTheme="majorHAnsi" w:hAnsiTheme="majorHAnsi" w:cstheme="majorHAnsi"/>
              </w:rPr>
            </w:pPr>
            <w:r>
              <w:rPr>
                <w:rFonts w:asciiTheme="majorHAnsi" w:hAnsiTheme="majorHAnsi" w:cstheme="majorHAnsi"/>
              </w:rPr>
              <w:t>Be involved and support the employees’ rehabilitation.</w:t>
            </w:r>
          </w:p>
          <w:p>
            <w:pPr>
              <w:pStyle w:val="292"/>
              <w:numPr>
                <w:ilvl w:val="0"/>
                <w:numId w:val="13"/>
              </w:numPr>
              <w:spacing w:before="120" w:after="120"/>
              <w:rPr>
                <w:rFonts w:asciiTheme="majorHAnsi" w:hAnsiTheme="majorHAnsi" w:cstheme="majorHAnsi"/>
              </w:rPr>
            </w:pPr>
            <w:r>
              <w:rPr>
                <w:rFonts w:asciiTheme="majorHAnsi" w:hAnsiTheme="majorHAnsi" w:cstheme="majorHAnsi"/>
              </w:rPr>
              <w:t>Assess the employee’s workplace for any hazards.</w:t>
            </w:r>
          </w:p>
          <w:p>
            <w:pPr>
              <w:pStyle w:val="292"/>
              <w:numPr>
                <w:ilvl w:val="0"/>
                <w:numId w:val="13"/>
              </w:numPr>
              <w:spacing w:before="120" w:after="120"/>
              <w:rPr>
                <w:rFonts w:asciiTheme="majorHAnsi" w:hAnsiTheme="majorHAnsi" w:cstheme="majorHAnsi"/>
              </w:rPr>
            </w:pPr>
            <w:r>
              <w:rPr>
                <w:rFonts w:asciiTheme="majorHAnsi" w:hAnsiTheme="majorHAnsi" w:cstheme="majorHAnsi"/>
              </w:rPr>
              <w:t>Participate in rehabilitation and monitoring meetings with the Kaimahi-staff and Case Manager</w:t>
            </w:r>
          </w:p>
        </w:tc>
      </w:tr>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c>
          <w:tcPr>
            <w:tcW w:w="169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Union/Kaimahi-staff representative</w:t>
            </w:r>
          </w:p>
        </w:tc>
        <w:tc>
          <w:tcPr>
            <w:tcW w:w="7942" w:type="dxa"/>
            <w:shd w:val="clear" w:color="auto" w:fill="FFFFFF" w:themeFill="background1"/>
          </w:tcPr>
          <w:p>
            <w:pPr>
              <w:pStyle w:val="292"/>
              <w:numPr>
                <w:ilvl w:val="0"/>
                <w:numId w:val="13"/>
              </w:numPr>
              <w:spacing w:before="120" w:after="120"/>
              <w:rPr>
                <w:rFonts w:asciiTheme="majorHAnsi" w:hAnsiTheme="majorHAnsi" w:cstheme="majorHAnsi"/>
              </w:rPr>
            </w:pPr>
            <w:r>
              <w:rPr>
                <w:rFonts w:asciiTheme="majorHAnsi" w:hAnsiTheme="majorHAnsi" w:cstheme="majorHAnsi"/>
              </w:rPr>
              <w:t>Support the injured Kaimahi-staff as requested.</w:t>
            </w:r>
          </w:p>
          <w:p>
            <w:pPr>
              <w:pStyle w:val="292"/>
              <w:numPr>
                <w:ilvl w:val="0"/>
                <w:numId w:val="13"/>
              </w:numPr>
              <w:spacing w:before="120" w:after="120"/>
              <w:rPr>
                <w:rFonts w:asciiTheme="majorHAnsi" w:hAnsiTheme="majorHAnsi" w:cstheme="majorHAnsi"/>
              </w:rPr>
            </w:pPr>
            <w:r>
              <w:rPr>
                <w:rFonts w:asciiTheme="majorHAnsi" w:hAnsiTheme="majorHAnsi" w:cstheme="majorHAnsi"/>
              </w:rPr>
              <w:t>At the injured employees request take part in the rehabilitation planning and monitoring meetings</w:t>
            </w:r>
          </w:p>
          <w:p>
            <w:pPr>
              <w:pStyle w:val="292"/>
              <w:numPr>
                <w:ilvl w:val="0"/>
                <w:numId w:val="13"/>
              </w:numPr>
              <w:spacing w:before="120" w:after="120"/>
              <w:rPr>
                <w:rFonts w:asciiTheme="majorHAnsi" w:hAnsiTheme="majorHAnsi" w:cstheme="majorHAnsi"/>
              </w:rPr>
            </w:pPr>
            <w:r>
              <w:rPr>
                <w:rFonts w:asciiTheme="majorHAnsi" w:hAnsiTheme="majorHAnsi" w:cstheme="majorHAnsi"/>
              </w:rPr>
              <w:t>Assist with the identification of return-to-work duties</w:t>
            </w:r>
          </w:p>
        </w:tc>
      </w:tr>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c>
          <w:tcPr>
            <w:tcW w:w="169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Howden Care</w:t>
            </w:r>
          </w:p>
        </w:tc>
        <w:tc>
          <w:tcPr>
            <w:tcW w:w="7942" w:type="dxa"/>
            <w:shd w:val="clear" w:color="auto" w:fill="FFFFFF" w:themeFill="background1"/>
          </w:tcPr>
          <w:p>
            <w:pPr>
              <w:pStyle w:val="292"/>
              <w:numPr>
                <w:ilvl w:val="0"/>
                <w:numId w:val="13"/>
              </w:numPr>
              <w:spacing w:before="120" w:after="120"/>
              <w:rPr>
                <w:rFonts w:asciiTheme="majorHAnsi" w:hAnsiTheme="majorHAnsi" w:cstheme="majorHAnsi"/>
                <w:color w:val="auto"/>
              </w:rPr>
            </w:pPr>
            <w:r>
              <w:rPr>
                <w:rFonts w:asciiTheme="majorHAnsi" w:hAnsiTheme="majorHAnsi" w:cstheme="majorHAnsi"/>
              </w:rPr>
              <w:t xml:space="preserve">Work </w:t>
            </w:r>
            <w:r>
              <w:rPr>
                <w:rFonts w:asciiTheme="majorHAnsi" w:hAnsiTheme="majorHAnsi" w:cstheme="majorHAnsi"/>
                <w:color w:val="auto"/>
              </w:rPr>
              <w:t xml:space="preserve">with </w:t>
            </w:r>
            <w:r>
              <w:rPr>
                <w:rFonts w:ascii="Arial" w:hAnsi="Arial" w:cstheme="majorHAnsi"/>
                <w:color w:val="auto"/>
              </w:rPr>
              <w:t>University of Otago</w:t>
            </w:r>
            <w:r>
              <w:rPr>
                <w:rFonts w:asciiTheme="majorHAnsi" w:hAnsiTheme="majorHAnsi" w:cstheme="majorHAnsi"/>
                <w:color w:val="auto"/>
              </w:rPr>
              <w:t xml:space="preserve"> to provide administration on all work injury claims.</w:t>
            </w:r>
          </w:p>
          <w:p>
            <w:pPr>
              <w:pStyle w:val="292"/>
              <w:numPr>
                <w:ilvl w:val="0"/>
                <w:numId w:val="13"/>
              </w:numPr>
              <w:spacing w:before="120" w:after="120"/>
              <w:rPr>
                <w:rFonts w:asciiTheme="majorHAnsi" w:hAnsiTheme="majorHAnsi" w:cstheme="majorHAnsi"/>
                <w:color w:val="auto"/>
              </w:rPr>
            </w:pPr>
            <w:r>
              <w:rPr>
                <w:rFonts w:asciiTheme="majorHAnsi" w:hAnsiTheme="majorHAnsi" w:cstheme="majorHAnsi"/>
                <w:color w:val="auto"/>
              </w:rPr>
              <w:t xml:space="preserve">Manage for the </w:t>
            </w:r>
            <w:r>
              <w:rPr>
                <w:rFonts w:ascii="Arial" w:hAnsi="Arial" w:cstheme="majorHAnsi"/>
                <w:color w:val="auto"/>
              </w:rPr>
              <w:t>University of Otago all medical fees claims.</w:t>
            </w:r>
          </w:p>
          <w:p>
            <w:pPr>
              <w:pStyle w:val="292"/>
              <w:numPr>
                <w:ilvl w:val="0"/>
                <w:numId w:val="13"/>
              </w:numPr>
              <w:spacing w:before="120" w:after="120"/>
              <w:rPr>
                <w:rFonts w:asciiTheme="majorHAnsi" w:hAnsiTheme="majorHAnsi" w:cstheme="majorHAnsi"/>
              </w:rPr>
            </w:pPr>
            <w:r>
              <w:rPr>
                <w:rFonts w:asciiTheme="majorHAnsi" w:hAnsiTheme="majorHAnsi" w:cstheme="majorHAnsi"/>
                <w:color w:val="auto"/>
              </w:rPr>
              <w:t xml:space="preserve">Liaise with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on all cover and entitlement decisions on medical fees claims.</w:t>
            </w:r>
          </w:p>
          <w:p>
            <w:pPr>
              <w:pStyle w:val="292"/>
              <w:numPr>
                <w:ilvl w:val="0"/>
                <w:numId w:val="13"/>
              </w:numPr>
              <w:spacing w:before="120" w:after="120"/>
              <w:rPr>
                <w:rFonts w:asciiTheme="majorHAnsi" w:hAnsiTheme="majorHAnsi" w:cstheme="majorHAnsi"/>
              </w:rPr>
            </w:pPr>
            <w:r>
              <w:rPr>
                <w:rFonts w:asciiTheme="majorHAnsi" w:hAnsiTheme="majorHAnsi" w:cstheme="majorHAnsi"/>
              </w:rPr>
              <w:t xml:space="preserve">Meet the AEP audit requirements for data reporting, claim and rehabilitation requirements as outlined in </w:t>
            </w:r>
            <w:r>
              <w:fldChar w:fldCharType="begin"/>
            </w:r>
            <w:r>
              <w:instrText xml:space="preserve"> HYPERLINK \l "_Appendix_2_AEP" \h </w:instrText>
            </w:r>
            <w:r>
              <w:fldChar w:fldCharType="separate"/>
            </w:r>
            <w:r>
              <w:rPr>
                <w:rStyle w:val="55"/>
                <w:rFonts w:asciiTheme="majorHAnsi" w:hAnsiTheme="majorHAnsi" w:cstheme="majorHAnsi"/>
              </w:rPr>
              <w:t>Appendix 2 AEP Timeframe summary</w:t>
            </w:r>
            <w:r>
              <w:rPr>
                <w:rStyle w:val="55"/>
                <w:rFonts w:asciiTheme="majorHAnsi" w:hAnsiTheme="majorHAnsi" w:cstheme="majorHAnsi"/>
              </w:rPr>
              <w:fldChar w:fldCharType="end"/>
            </w:r>
            <w:r>
              <w:rPr>
                <w:rFonts w:asciiTheme="majorHAnsi" w:hAnsiTheme="majorHAnsi" w:cstheme="majorHAnsi"/>
              </w:rPr>
              <w:t xml:space="preserve"> and as documented in this manual.</w:t>
            </w:r>
          </w:p>
          <w:p>
            <w:pPr>
              <w:pStyle w:val="292"/>
              <w:numPr>
                <w:ilvl w:val="0"/>
                <w:numId w:val="13"/>
              </w:numPr>
              <w:spacing w:before="120" w:after="120"/>
              <w:rPr>
                <w:rFonts w:asciiTheme="majorHAnsi" w:hAnsiTheme="majorHAnsi" w:cstheme="majorHAnsi"/>
              </w:rPr>
            </w:pPr>
            <w:r>
              <w:rPr>
                <w:rFonts w:asciiTheme="majorHAnsi" w:hAnsiTheme="majorHAnsi" w:cstheme="majorHAnsi"/>
              </w:rPr>
              <w:t>Ensure leave and absence management procedures are in place to support continuation of claims management.</w:t>
            </w:r>
          </w:p>
        </w:tc>
      </w:tr>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c>
          <w:tcPr>
            <w:tcW w:w="1696" w:type="dxa"/>
            <w:shd w:val="clear" w:color="auto" w:fill="F1F1F1" w:themeFill="background1" w:themeFillShade="F2"/>
          </w:tcPr>
          <w:p>
            <w:pPr>
              <w:spacing w:before="120" w:after="120" w:line="240" w:lineRule="auto"/>
              <w:rPr>
                <w:rFonts w:asciiTheme="majorHAnsi" w:hAnsiTheme="majorHAnsi" w:cstheme="majorHAnsi"/>
                <w:b/>
                <w:color w:val="152C46" w:themeColor="text1"/>
                <w:sz w:val="18"/>
                <w:szCs w:val="18"/>
                <w14:textFill>
                  <w14:solidFill>
                    <w14:schemeClr w14:val="tx1"/>
                  </w14:solidFill>
                </w14:textFill>
              </w:rPr>
            </w:pPr>
            <w:r>
              <w:rPr>
                <w:rFonts w:asciiTheme="majorHAnsi" w:hAnsiTheme="majorHAnsi" w:cstheme="majorHAnsi"/>
                <w:b/>
                <w:color w:val="152C46" w:themeColor="text1"/>
                <w:sz w:val="18"/>
                <w:szCs w:val="18"/>
                <w14:textFill>
                  <w14:solidFill>
                    <w14:schemeClr w14:val="tx1"/>
                  </w14:solidFill>
                </w14:textFill>
              </w:rPr>
              <w:t>Occupational Health and Wellbeing Coordinator/Occupational health team</w:t>
            </w:r>
          </w:p>
        </w:tc>
        <w:tc>
          <w:tcPr>
            <w:tcW w:w="7942" w:type="dxa"/>
            <w:shd w:val="clear" w:color="auto" w:fill="FFFFFF" w:themeFill="background1"/>
          </w:tcPr>
          <w:p>
            <w:pPr>
              <w:pStyle w:val="292"/>
              <w:numPr>
                <w:ilvl w:val="0"/>
                <w:numId w:val="13"/>
              </w:numPr>
              <w:spacing w:before="120" w:after="120"/>
              <w:rPr>
                <w:rFonts w:asciiTheme="majorHAnsi" w:hAnsiTheme="majorHAnsi" w:cstheme="majorHAnsi"/>
              </w:rPr>
            </w:pPr>
            <w:r>
              <w:rPr>
                <w:rFonts w:asciiTheme="majorHAnsi" w:hAnsiTheme="majorHAnsi" w:cstheme="majorHAnsi"/>
              </w:rPr>
              <w:t>Oversees the Injury Management Programme</w:t>
            </w:r>
          </w:p>
          <w:p>
            <w:pPr>
              <w:pStyle w:val="292"/>
              <w:numPr>
                <w:ilvl w:val="0"/>
                <w:numId w:val="13"/>
              </w:numPr>
              <w:spacing w:before="120" w:after="120"/>
              <w:rPr>
                <w:rFonts w:asciiTheme="majorHAnsi" w:hAnsiTheme="majorHAnsi" w:cstheme="majorHAnsi"/>
                <w:color w:val="auto"/>
              </w:rPr>
            </w:pPr>
            <w:r>
              <w:rPr>
                <w:rFonts w:asciiTheme="majorHAnsi" w:hAnsiTheme="majorHAnsi" w:cstheme="majorHAnsi"/>
                <w:color w:val="auto"/>
              </w:rPr>
              <w:t xml:space="preserve">Management of all work-related lost time and serious/complex claims </w:t>
            </w:r>
          </w:p>
          <w:p>
            <w:pPr>
              <w:pStyle w:val="292"/>
              <w:numPr>
                <w:ilvl w:val="0"/>
                <w:numId w:val="13"/>
              </w:numPr>
              <w:spacing w:before="120" w:after="120"/>
              <w:rPr>
                <w:rFonts w:asciiTheme="majorHAnsi" w:hAnsiTheme="majorHAnsi" w:cstheme="majorHAnsi"/>
              </w:rPr>
            </w:pPr>
            <w:r>
              <w:rPr>
                <w:rFonts w:asciiTheme="majorHAnsi" w:hAnsiTheme="majorHAnsi" w:cstheme="majorHAnsi"/>
                <w:lang w:eastAsia="en-GB"/>
              </w:rPr>
              <w:t>Develop and review rehabilitation procedures as necessary.</w:t>
            </w:r>
          </w:p>
          <w:p>
            <w:pPr>
              <w:pStyle w:val="292"/>
              <w:numPr>
                <w:ilvl w:val="0"/>
                <w:numId w:val="13"/>
              </w:numPr>
              <w:spacing w:before="120" w:after="120"/>
              <w:rPr>
                <w:rFonts w:asciiTheme="majorHAnsi" w:hAnsiTheme="majorHAnsi" w:cstheme="majorHAnsi"/>
              </w:rPr>
            </w:pPr>
            <w:r>
              <w:rPr>
                <w:rFonts w:asciiTheme="majorHAnsi" w:hAnsiTheme="majorHAnsi" w:cstheme="majorHAnsi"/>
                <w:lang w:eastAsia="en-GB"/>
              </w:rPr>
              <w:t>Develop and review rehabilitation objectives annually.</w:t>
            </w:r>
          </w:p>
          <w:p>
            <w:pPr>
              <w:pStyle w:val="292"/>
              <w:numPr>
                <w:ilvl w:val="0"/>
                <w:numId w:val="13"/>
              </w:numPr>
              <w:spacing w:before="120" w:after="120"/>
              <w:rPr>
                <w:rFonts w:asciiTheme="majorHAnsi" w:hAnsiTheme="majorHAnsi" w:cstheme="majorHAnsi"/>
              </w:rPr>
            </w:pPr>
            <w:r>
              <w:rPr>
                <w:rFonts w:asciiTheme="majorHAnsi" w:hAnsiTheme="majorHAnsi" w:cstheme="majorHAnsi"/>
                <w:lang w:eastAsia="en-GB"/>
              </w:rPr>
              <w:t>Oversee the management of complaints, reviews</w:t>
            </w:r>
            <w:r>
              <w:rPr>
                <w:rFonts w:asciiTheme="majorHAnsi" w:hAnsiTheme="majorHAnsi" w:cstheme="majorHAnsi"/>
                <w:lang w:eastAsia="en-GB"/>
              </w:rPr>
              <w:br w:type="textWrapping"/>
            </w:r>
            <w:r>
              <w:rPr>
                <w:rFonts w:asciiTheme="majorHAnsi" w:hAnsiTheme="majorHAnsi" w:cstheme="majorHAnsi"/>
                <w:lang w:eastAsia="en-GB"/>
              </w:rPr>
              <w:t>and other concerns or disputes.</w:t>
            </w:r>
          </w:p>
          <w:p>
            <w:pPr>
              <w:pStyle w:val="292"/>
              <w:numPr>
                <w:ilvl w:val="0"/>
                <w:numId w:val="13"/>
              </w:numPr>
              <w:spacing w:before="120" w:after="120"/>
              <w:rPr>
                <w:rFonts w:asciiTheme="majorHAnsi" w:hAnsiTheme="majorHAnsi" w:cstheme="majorHAnsi"/>
              </w:rPr>
            </w:pPr>
            <w:r>
              <w:rPr>
                <w:rFonts w:asciiTheme="majorHAnsi" w:hAnsiTheme="majorHAnsi" w:cstheme="majorHAnsi"/>
              </w:rPr>
              <w:t>Resourcing the programme</w:t>
            </w:r>
          </w:p>
        </w:tc>
      </w:tr>
      <w:tr>
        <w:tblPrEx>
          <w:tblBorders>
            <w:top w:val="single" w:color="152C46" w:themeColor="text1" w:sz="8" w:space="0"/>
            <w:left w:val="none" w:color="auto" w:sz="0" w:space="0"/>
            <w:bottom w:val="single" w:color="152C46" w:themeColor="text1" w:sz="8" w:space="0"/>
            <w:right w:val="none" w:color="auto" w:sz="0" w:space="0"/>
            <w:insideH w:val="single" w:color="152C46" w:themeColor="text1" w:sz="8" w:space="0"/>
            <w:insideV w:val="none" w:color="auto" w:sz="0" w:space="0"/>
          </w:tblBorders>
          <w:tblCellMar>
            <w:top w:w="0" w:type="dxa"/>
            <w:left w:w="108" w:type="dxa"/>
            <w:bottom w:w="0" w:type="dxa"/>
            <w:right w:w="108" w:type="dxa"/>
          </w:tblCellMar>
        </w:tblPrEx>
        <w:tc>
          <w:tcPr>
            <w:tcW w:w="1696" w:type="dxa"/>
            <w:shd w:val="clear" w:color="auto" w:fill="F1F1F1" w:themeFill="background1" w:themeFillShade="F2"/>
          </w:tcPr>
          <w:p>
            <w:pPr>
              <w:spacing w:before="120" w:after="120" w:line="240" w:lineRule="auto"/>
              <w:rPr>
                <w:rFonts w:asciiTheme="majorHAnsi" w:hAnsiTheme="majorHAnsi" w:cstheme="majorHAnsi"/>
                <w:b/>
              </w:rPr>
            </w:pPr>
            <w:r>
              <w:rPr>
                <w:rFonts w:asciiTheme="majorHAnsi" w:hAnsiTheme="majorHAnsi" w:cstheme="majorHAnsi"/>
                <w:b/>
              </w:rPr>
              <w:t>Director, Health and Safety</w:t>
            </w:r>
          </w:p>
        </w:tc>
        <w:tc>
          <w:tcPr>
            <w:tcW w:w="7942" w:type="dxa"/>
            <w:shd w:val="clear" w:color="auto" w:fill="FFFFFF" w:themeFill="background1"/>
          </w:tcPr>
          <w:p>
            <w:pPr>
              <w:pStyle w:val="292"/>
              <w:numPr>
                <w:ilvl w:val="0"/>
                <w:numId w:val="13"/>
              </w:numPr>
              <w:spacing w:before="120" w:after="120"/>
              <w:rPr>
                <w:rFonts w:asciiTheme="majorHAnsi" w:hAnsiTheme="majorHAnsi" w:cstheme="majorHAnsi"/>
              </w:rPr>
            </w:pPr>
            <w:r>
              <w:rPr>
                <w:rFonts w:asciiTheme="majorHAnsi" w:hAnsiTheme="majorHAnsi" w:cstheme="majorHAnsi"/>
              </w:rPr>
              <w:t>Complaints Manager</w:t>
            </w:r>
          </w:p>
          <w:p>
            <w:pPr>
              <w:pStyle w:val="292"/>
              <w:numPr>
                <w:ilvl w:val="0"/>
                <w:numId w:val="13"/>
              </w:numPr>
              <w:spacing w:before="120" w:after="120"/>
              <w:rPr>
                <w:rFonts w:asciiTheme="majorHAnsi" w:hAnsiTheme="majorHAnsi" w:cstheme="majorHAnsi"/>
              </w:rPr>
            </w:pPr>
            <w:r>
              <w:rPr>
                <w:rFonts w:asciiTheme="majorHAnsi" w:hAnsiTheme="majorHAnsi" w:cstheme="majorHAnsi"/>
              </w:rPr>
              <w:t xml:space="preserve">ACC liaison </w:t>
            </w:r>
          </w:p>
          <w:p>
            <w:pPr>
              <w:pStyle w:val="292"/>
              <w:numPr>
                <w:ilvl w:val="0"/>
                <w:numId w:val="13"/>
              </w:numPr>
              <w:spacing w:before="120" w:after="120"/>
              <w:rPr>
                <w:rFonts w:asciiTheme="majorHAnsi" w:hAnsiTheme="majorHAnsi" w:cstheme="majorHAnsi"/>
              </w:rPr>
            </w:pPr>
            <w:r>
              <w:rPr>
                <w:rFonts w:asciiTheme="majorHAnsi" w:hAnsiTheme="majorHAnsi" w:cstheme="majorHAnsi"/>
              </w:rPr>
              <w:t>Provision of cover for Occupational Health and Wellbeing Coordinator.</w:t>
            </w:r>
          </w:p>
        </w:tc>
      </w:tr>
    </w:tbl>
    <w:p>
      <w:pPr>
        <w:spacing w:line="240" w:lineRule="auto"/>
        <w:contextualSpacing/>
        <w:rPr>
          <w:rFonts w:asciiTheme="majorHAnsi" w:hAnsiTheme="majorHAnsi" w:cstheme="majorHAnsi"/>
          <w:sz w:val="22"/>
          <w:szCs w:val="22"/>
        </w:rPr>
      </w:pPr>
    </w:p>
    <w:p>
      <w:pPr>
        <w:rPr>
          <w:rFonts w:asciiTheme="majorHAnsi" w:hAnsiTheme="majorHAnsi" w:cstheme="majorHAnsi"/>
          <w:sz w:val="22"/>
          <w:szCs w:val="22"/>
        </w:rPr>
      </w:pPr>
      <w:r>
        <w:rPr>
          <w:rFonts w:asciiTheme="majorHAnsi" w:hAnsiTheme="majorHAnsi" w:cstheme="majorHAnsi"/>
          <w:sz w:val="22"/>
          <w:szCs w:val="22"/>
        </w:rPr>
        <w:br w:type="page"/>
      </w:r>
    </w:p>
    <w:p>
      <w:pPr>
        <w:pStyle w:val="2"/>
        <w:rPr>
          <w:rFonts w:cstheme="majorHAnsi"/>
        </w:rPr>
      </w:pPr>
      <w:bookmarkStart w:id="42" w:name="_Toc101453853"/>
      <w:bookmarkStart w:id="43" w:name="_Toc298508244"/>
      <w:bookmarkStart w:id="44" w:name="_Toc2143129833"/>
      <w:bookmarkStart w:id="45" w:name="_Toc90388336"/>
      <w:bookmarkStart w:id="46" w:name="_Toc101532320"/>
      <w:bookmarkStart w:id="47" w:name="_Toc2012513756"/>
      <w:bookmarkStart w:id="48" w:name="_Toc90394241"/>
      <w:bookmarkStart w:id="49" w:name="_Toc459554148"/>
      <w:r>
        <w:rPr>
          <w:rFonts w:cstheme="majorHAnsi"/>
        </w:rPr>
        <w:t>CLAIM LODGEMENT AND COVER</w:t>
      </w:r>
      <w:bookmarkEnd w:id="42"/>
      <w:bookmarkEnd w:id="43"/>
      <w:bookmarkEnd w:id="44"/>
      <w:bookmarkEnd w:id="45"/>
      <w:bookmarkEnd w:id="46"/>
      <w:bookmarkEnd w:id="47"/>
      <w:bookmarkEnd w:id="48"/>
      <w:bookmarkEnd w:id="49"/>
    </w:p>
    <w:p>
      <w:pPr>
        <w:pStyle w:val="7"/>
        <w:rPr>
          <w:rFonts w:cstheme="majorHAnsi"/>
        </w:rPr>
      </w:pPr>
      <w:bookmarkStart w:id="50" w:name="_Toc101453854"/>
      <w:bookmarkStart w:id="51" w:name="_Toc101532321"/>
      <w:bookmarkStart w:id="52" w:name="_Toc90388337"/>
      <w:bookmarkStart w:id="53" w:name="_Toc90394242"/>
      <w:bookmarkStart w:id="54" w:name="_Toc2013334085"/>
      <w:bookmarkStart w:id="55" w:name="_Toc483361375"/>
      <w:bookmarkStart w:id="56" w:name="_Toc809872985"/>
      <w:bookmarkStart w:id="57" w:name="_Toc1755529159"/>
      <w:r>
        <w:rPr>
          <w:rFonts w:cstheme="majorHAnsi"/>
        </w:rPr>
        <w:t>5.1</w:t>
      </w:r>
      <w:r>
        <w:rPr>
          <w:rFonts w:cstheme="majorHAnsi"/>
        </w:rPr>
        <w:tab/>
      </w:r>
      <w:r>
        <w:rPr>
          <w:rStyle w:val="276"/>
          <w:rFonts w:cstheme="majorHAnsi"/>
          <w:b/>
          <w:bCs/>
        </w:rPr>
        <w:t>Claim lodgement</w:t>
      </w:r>
      <w:bookmarkEnd w:id="50"/>
      <w:bookmarkEnd w:id="51"/>
      <w:bookmarkEnd w:id="52"/>
      <w:bookmarkEnd w:id="53"/>
      <w:r>
        <w:rPr>
          <w:rFonts w:cstheme="majorHAnsi"/>
        </w:rPr>
        <w:t xml:space="preserve"> </w:t>
      </w:r>
      <w:bookmarkEnd w:id="54"/>
      <w:bookmarkEnd w:id="55"/>
      <w:bookmarkEnd w:id="56"/>
      <w:bookmarkEnd w:id="57"/>
    </w:p>
    <w:p>
      <w:pPr>
        <w:pStyle w:val="8"/>
        <w:rPr>
          <w:rFonts w:cstheme="majorHAnsi"/>
        </w:rPr>
      </w:pPr>
      <w:bookmarkStart w:id="58" w:name="_Toc90394243"/>
      <w:bookmarkStart w:id="59" w:name="_Toc223138614"/>
      <w:bookmarkStart w:id="60" w:name="_Toc531009199"/>
      <w:bookmarkStart w:id="61" w:name="_Toc90388338"/>
      <w:bookmarkStart w:id="62" w:name="_Toc1543684650"/>
      <w:bookmarkStart w:id="63" w:name="_Toc2000391038"/>
      <w:bookmarkStart w:id="64" w:name="_Toc101532322"/>
      <w:bookmarkStart w:id="65" w:name="_Toc101453855"/>
      <w:r>
        <w:rPr>
          <w:rFonts w:cstheme="majorHAnsi"/>
        </w:rPr>
        <w:t>5.1.1</w:t>
      </w:r>
      <w:r>
        <w:rPr>
          <w:rFonts w:cstheme="majorHAnsi"/>
        </w:rPr>
        <w:tab/>
      </w:r>
      <w:r>
        <w:rPr>
          <w:rFonts w:cstheme="majorHAnsi"/>
        </w:rPr>
        <w:t>Lodging a claim</w:t>
      </w:r>
      <w:bookmarkEnd w:id="58"/>
      <w:bookmarkEnd w:id="59"/>
      <w:bookmarkEnd w:id="60"/>
      <w:bookmarkEnd w:id="61"/>
      <w:bookmarkEnd w:id="62"/>
      <w:bookmarkEnd w:id="63"/>
      <w:bookmarkEnd w:id="64"/>
      <w:bookmarkEnd w:id="65"/>
    </w:p>
    <w:p>
      <w:pPr>
        <w:pStyle w:val="5"/>
        <w:rPr>
          <w:rFonts w:asciiTheme="majorHAnsi" w:hAnsiTheme="majorHAnsi" w:cstheme="majorHAnsi"/>
        </w:rPr>
      </w:pPr>
      <w:r>
        <w:rPr>
          <w:rFonts w:asciiTheme="majorHAnsi" w:hAnsiTheme="majorHAnsi" w:cstheme="majorHAnsi"/>
        </w:rPr>
        <w:t>If an Kaimahi-staff suffers a work-related illness or injury they need to:</w:t>
      </w:r>
    </w:p>
    <w:p>
      <w:pPr>
        <w:pStyle w:val="292"/>
        <w:rPr>
          <w:rFonts w:asciiTheme="majorHAnsi" w:hAnsiTheme="majorHAnsi" w:cstheme="majorHAnsi"/>
        </w:rPr>
      </w:pPr>
      <w:r>
        <w:rPr>
          <w:rFonts w:asciiTheme="majorHAnsi" w:hAnsiTheme="majorHAnsi" w:cstheme="majorHAnsi"/>
        </w:rPr>
        <w:t xml:space="preserve">Get medical treatment. </w:t>
      </w:r>
    </w:p>
    <w:p>
      <w:pPr>
        <w:pStyle w:val="292"/>
        <w:rPr>
          <w:rFonts w:asciiTheme="majorHAnsi" w:hAnsiTheme="majorHAnsi" w:cstheme="majorHAnsi"/>
        </w:rPr>
      </w:pPr>
      <w:r>
        <w:rPr>
          <w:rFonts w:asciiTheme="majorHAnsi" w:hAnsiTheme="majorHAnsi" w:cstheme="majorHAnsi"/>
        </w:rPr>
        <w:t>Notify their manager.</w:t>
      </w:r>
    </w:p>
    <w:p>
      <w:pPr>
        <w:pStyle w:val="292"/>
        <w:rPr>
          <w:rFonts w:asciiTheme="majorHAnsi" w:hAnsiTheme="majorHAnsi" w:cstheme="majorHAnsi"/>
        </w:rPr>
      </w:pPr>
      <w:r>
        <w:rPr>
          <w:rFonts w:asciiTheme="majorHAnsi" w:hAnsiTheme="majorHAnsi" w:cstheme="majorHAnsi"/>
        </w:rPr>
        <w:t>Complete a work incident report – enter here relevant details of reporting system.</w:t>
      </w:r>
    </w:p>
    <w:p>
      <w:pPr>
        <w:pStyle w:val="292"/>
        <w:rPr>
          <w:rFonts w:asciiTheme="majorHAnsi" w:hAnsiTheme="majorHAnsi" w:cstheme="majorHAnsi"/>
        </w:rPr>
      </w:pPr>
      <w:r>
        <w:rPr>
          <w:rFonts w:asciiTheme="majorHAnsi" w:hAnsiTheme="majorHAnsi" w:cstheme="majorHAnsi"/>
        </w:rPr>
        <w:t>The medical treatment provider will complete an ACC45 claim form. Work Related Gradual Process or Infection and Mental Injury claims must be lodged by a doctor.</w:t>
      </w:r>
    </w:p>
    <w:p>
      <w:pPr>
        <w:pStyle w:val="8"/>
        <w:rPr>
          <w:rFonts w:cstheme="majorHAnsi"/>
        </w:rPr>
      </w:pPr>
      <w:bookmarkStart w:id="66" w:name="_Toc791539949"/>
      <w:bookmarkStart w:id="67" w:name="_Toc1095548193"/>
      <w:bookmarkStart w:id="68" w:name="_Toc1212799366"/>
      <w:bookmarkStart w:id="69" w:name="_Toc101453856"/>
      <w:bookmarkStart w:id="70" w:name="_Toc101532323"/>
      <w:bookmarkStart w:id="71" w:name="_Toc384868044"/>
      <w:bookmarkStart w:id="72" w:name="_Toc90394244"/>
      <w:bookmarkStart w:id="73" w:name="_Toc90388339"/>
      <w:r>
        <w:rPr>
          <w:rFonts w:cstheme="majorHAnsi"/>
        </w:rPr>
        <w:t>5.1.2</w:t>
      </w:r>
      <w:r>
        <w:rPr>
          <w:rFonts w:cstheme="majorHAnsi"/>
        </w:rPr>
        <w:tab/>
      </w:r>
      <w:r>
        <w:rPr>
          <w:rFonts w:cstheme="majorHAnsi"/>
        </w:rPr>
        <w:t>Notification and registration of claim</w:t>
      </w:r>
      <w:bookmarkEnd w:id="66"/>
      <w:bookmarkEnd w:id="67"/>
      <w:bookmarkEnd w:id="68"/>
      <w:bookmarkEnd w:id="69"/>
      <w:bookmarkEnd w:id="70"/>
      <w:bookmarkEnd w:id="71"/>
      <w:bookmarkEnd w:id="72"/>
      <w:bookmarkEnd w:id="73"/>
    </w:p>
    <w:p>
      <w:pPr>
        <w:pStyle w:val="5"/>
        <w:rPr>
          <w:rFonts w:asciiTheme="majorHAnsi" w:hAnsiTheme="majorHAnsi" w:cstheme="majorBidi"/>
        </w:rPr>
      </w:pPr>
      <w:r>
        <w:rPr>
          <w:rFonts w:ascii="Arial" w:hAnsi="Arial" w:cstheme="majorBidi"/>
          <w:color w:val="auto"/>
        </w:rPr>
        <w:t>University of Otago</w:t>
      </w:r>
      <w:r>
        <w:rPr>
          <w:rFonts w:asciiTheme="majorHAnsi" w:hAnsiTheme="majorHAnsi" w:cstheme="majorBidi"/>
          <w:color w:val="auto"/>
        </w:rPr>
        <w:t xml:space="preserve"> </w:t>
      </w:r>
      <w:r>
        <w:rPr>
          <w:rFonts w:asciiTheme="majorHAnsi" w:hAnsiTheme="majorHAnsi" w:cstheme="majorBidi"/>
        </w:rPr>
        <w:t>will notify Howden Care of the claim within two working days. This could be via sending the work injury report, an email or phone call, or emailing a copy of the ACC45 and related documents to Howden Care.</w:t>
      </w:r>
    </w:p>
    <w:p>
      <w:pPr>
        <w:pStyle w:val="5"/>
        <w:rPr>
          <w:rFonts w:asciiTheme="majorHAnsi" w:hAnsiTheme="majorHAnsi" w:cstheme="majorHAnsi"/>
        </w:rPr>
      </w:pPr>
      <w:r>
        <w:rPr>
          <w:rFonts w:asciiTheme="majorHAnsi" w:hAnsiTheme="majorHAnsi" w:cstheme="majorHAnsi"/>
        </w:rPr>
        <w:t>Howden Care can receive the ACC45 claim form from a number of sources:</w:t>
      </w:r>
    </w:p>
    <w:p>
      <w:pPr>
        <w:pStyle w:val="292"/>
        <w:rPr>
          <w:rFonts w:asciiTheme="majorHAnsi" w:hAnsiTheme="majorHAnsi" w:cstheme="majorHAnsi"/>
        </w:rPr>
      </w:pPr>
      <w:r>
        <w:rPr>
          <w:rFonts w:asciiTheme="majorHAnsi" w:hAnsiTheme="majorHAnsi" w:cstheme="majorHAnsi"/>
        </w:rPr>
        <w:t>From the injured employee</w:t>
      </w:r>
    </w:p>
    <w:p>
      <w:pPr>
        <w:pStyle w:val="292"/>
        <w:rPr>
          <w:rFonts w:asciiTheme="majorHAnsi" w:hAnsiTheme="majorHAnsi" w:cstheme="majorHAnsi"/>
        </w:rPr>
      </w:pPr>
      <w:r>
        <w:rPr>
          <w:rFonts w:asciiTheme="majorHAnsi" w:hAnsiTheme="majorHAnsi" w:cstheme="majorHAnsi"/>
        </w:rPr>
        <w:t>From the treatment provider</w:t>
      </w:r>
    </w:p>
    <w:p>
      <w:pPr>
        <w:pStyle w:val="292"/>
        <w:rPr>
          <w:rFonts w:asciiTheme="majorHAnsi" w:hAnsiTheme="majorHAnsi" w:cstheme="majorHAnsi"/>
        </w:rPr>
      </w:pPr>
      <w:r>
        <w:rPr>
          <w:rFonts w:asciiTheme="majorHAnsi" w:hAnsiTheme="majorHAnsi" w:cstheme="majorHAnsi"/>
        </w:rPr>
        <w:t xml:space="preserve">From ACC </w:t>
      </w:r>
    </w:p>
    <w:p>
      <w:pPr>
        <w:pStyle w:val="292"/>
        <w:rPr>
          <w:rFonts w:asciiTheme="majorHAnsi" w:hAnsiTheme="majorHAnsi" w:cstheme="majorHAnsi"/>
        </w:rPr>
      </w:pPr>
      <w:r>
        <w:rPr>
          <w:rFonts w:asciiTheme="majorHAnsi" w:hAnsiTheme="majorHAnsi" w:cstheme="majorHAnsi"/>
        </w:rPr>
        <w:t xml:space="preserve">From </w:t>
      </w:r>
      <w:r>
        <w:rPr>
          <w:rFonts w:ascii="Arial" w:hAnsi="Arial" w:cstheme="majorHAnsi"/>
          <w:color w:val="auto"/>
        </w:rPr>
        <w:t>University of Otago</w:t>
      </w:r>
      <w:r>
        <w:rPr>
          <w:rFonts w:asciiTheme="majorHAnsi" w:hAnsiTheme="majorHAnsi" w:cstheme="majorHAnsi"/>
          <w:color w:val="auto"/>
        </w:rPr>
        <w:t xml:space="preserve"> </w:t>
      </w:r>
    </w:p>
    <w:p>
      <w:pPr>
        <w:pStyle w:val="5"/>
        <w:rPr>
          <w:rFonts w:asciiTheme="majorHAnsi" w:hAnsiTheme="majorHAnsi" w:cstheme="majorHAnsi"/>
        </w:rPr>
      </w:pPr>
      <w:r>
        <w:rPr>
          <w:rFonts w:asciiTheme="majorHAnsi" w:hAnsiTheme="majorHAnsi" w:cstheme="majorHAnsi"/>
        </w:rPr>
        <w:t xml:space="preserve">Prior to registration Howden Care will check that the claim relates to a paid Kaimahi-staff of </w:t>
      </w:r>
      <w:r>
        <w:rPr>
          <w:rFonts w:ascii="Arial" w:hAnsi="Arial" w:cstheme="majorHAnsi"/>
          <w:color w:val="auto"/>
        </w:rPr>
        <w:t>University of Otago</w:t>
      </w:r>
      <w:r>
        <w:rPr>
          <w:rFonts w:asciiTheme="majorHAnsi" w:hAnsiTheme="majorHAnsi" w:cstheme="majorHAnsi"/>
          <w:color w:val="FF0000"/>
        </w:rPr>
        <w:t xml:space="preserve">, </w:t>
      </w:r>
      <w:r>
        <w:rPr>
          <w:rFonts w:asciiTheme="majorHAnsi" w:hAnsiTheme="majorHAnsi" w:cstheme="majorHAnsi"/>
        </w:rPr>
        <w:t xml:space="preserve">with the employer within 2 working days. If not a University of Otago claim, the claim will be transferred to the correct employer, their third-party administrator or ACC using standard letters. The treatment provider and claimant will be advised in writing that the claim has been transferred. Refer to </w:t>
      </w:r>
      <w:r>
        <w:fldChar w:fldCharType="begin"/>
      </w:r>
      <w:r>
        <w:instrText xml:space="preserve"> HYPERLINK \l "_Appendix_3_Claims" \h </w:instrText>
      </w:r>
      <w:r>
        <w:fldChar w:fldCharType="separate"/>
      </w:r>
      <w:r>
        <w:rPr>
          <w:rStyle w:val="55"/>
          <w:rFonts w:asciiTheme="majorHAnsi" w:hAnsiTheme="majorHAnsi" w:cstheme="majorHAnsi"/>
        </w:rPr>
        <w:t>Appendix 3 Claims transfer process</w:t>
      </w:r>
      <w:r>
        <w:rPr>
          <w:rStyle w:val="55"/>
          <w:rFonts w:asciiTheme="majorHAnsi" w:hAnsiTheme="majorHAnsi" w:cstheme="majorHAnsi"/>
        </w:rPr>
        <w:fldChar w:fldCharType="end"/>
      </w:r>
      <w:r>
        <w:rPr>
          <w:rFonts w:asciiTheme="majorHAnsi" w:hAnsiTheme="majorHAnsi" w:cstheme="majorHAnsi"/>
        </w:rPr>
        <w:t>.</w:t>
      </w:r>
    </w:p>
    <w:p>
      <w:pPr>
        <w:pStyle w:val="5"/>
        <w:rPr>
          <w:rFonts w:asciiTheme="majorHAnsi" w:hAnsiTheme="majorHAnsi" w:cstheme="majorHAnsi"/>
        </w:rPr>
      </w:pPr>
      <w:r>
        <w:rPr>
          <w:rFonts w:asciiTheme="majorHAnsi" w:hAnsiTheme="majorHAnsi" w:cstheme="majorHAnsi"/>
        </w:rPr>
        <w:t xml:space="preserve">When employment status confirmed, a Vault report will be uploaded to confirm injury (OHN).  The individual will be requested to complete a Vault report if not already done, and a follow up email will be forwarded to the individual and their line manager with the Vault incident portal lodging information, advising that this must be completed within 2 days for the claim to be processed. </w:t>
      </w:r>
    </w:p>
    <w:p>
      <w:pPr>
        <w:pStyle w:val="5"/>
        <w:rPr>
          <w:rFonts w:asciiTheme="majorHAnsi" w:hAnsiTheme="majorHAnsi" w:cstheme="majorHAnsi"/>
        </w:rPr>
      </w:pPr>
      <w:r>
        <w:rPr>
          <w:rFonts w:asciiTheme="majorHAnsi" w:hAnsiTheme="majorHAnsi" w:cstheme="majorHAnsi"/>
        </w:rPr>
        <w:t xml:space="preserve"> The claim will be created in the Howden Care claims management system and assigned a unique number.</w:t>
      </w:r>
    </w:p>
    <w:p>
      <w:pPr>
        <w:pStyle w:val="5"/>
        <w:rPr>
          <w:rFonts w:asciiTheme="majorHAnsi" w:hAnsiTheme="majorHAnsi" w:cstheme="majorHAnsi"/>
        </w:rPr>
      </w:pPr>
      <w:r>
        <w:rPr>
          <w:rFonts w:asciiTheme="majorHAnsi" w:hAnsiTheme="majorHAnsi" w:cstheme="majorHAnsi"/>
        </w:rPr>
        <w:t>Confirmation of the unique number will be forwarded to the OHN via email.  Howden Care provide a weekly reporting sheet of claims for review by the OHT.</w:t>
      </w:r>
    </w:p>
    <w:p>
      <w:pPr>
        <w:pStyle w:val="7"/>
        <w:rPr>
          <w:rFonts w:cstheme="majorHAnsi"/>
        </w:rPr>
      </w:pPr>
      <w:bookmarkStart w:id="74" w:name="_Toc451229793"/>
      <w:bookmarkStart w:id="75" w:name="_Toc541263495"/>
      <w:bookmarkStart w:id="76" w:name="_Toc15702104"/>
      <w:bookmarkStart w:id="77" w:name="_Toc101453857"/>
      <w:bookmarkStart w:id="78" w:name="_Toc90388340"/>
      <w:bookmarkStart w:id="79" w:name="_Toc101532324"/>
      <w:bookmarkStart w:id="80" w:name="_Toc90394245"/>
      <w:bookmarkStart w:id="81" w:name="_Toc1902132157"/>
      <w:r>
        <w:rPr>
          <w:rFonts w:cstheme="majorHAnsi"/>
        </w:rPr>
        <w:t>5.2</w:t>
      </w:r>
      <w:r>
        <w:rPr>
          <w:rFonts w:cstheme="majorHAnsi"/>
        </w:rPr>
        <w:tab/>
      </w:r>
      <w:r>
        <w:rPr>
          <w:rFonts w:cstheme="majorHAnsi"/>
        </w:rPr>
        <w:t>Cover decisions and timeframes</w:t>
      </w:r>
      <w:bookmarkEnd w:id="74"/>
      <w:bookmarkEnd w:id="75"/>
      <w:bookmarkEnd w:id="76"/>
      <w:bookmarkEnd w:id="77"/>
      <w:bookmarkEnd w:id="78"/>
      <w:bookmarkEnd w:id="79"/>
      <w:bookmarkEnd w:id="80"/>
      <w:bookmarkEnd w:id="81"/>
    </w:p>
    <w:p>
      <w:pPr>
        <w:pStyle w:val="5"/>
        <w:rPr>
          <w:rFonts w:asciiTheme="majorHAnsi" w:hAnsiTheme="majorHAnsi" w:cstheme="majorHAnsi"/>
        </w:rPr>
      </w:pPr>
      <w:r>
        <w:rPr>
          <w:rFonts w:asciiTheme="majorHAnsi" w:hAnsiTheme="majorHAnsi" w:cstheme="majorHAnsi"/>
          <w:lang w:eastAsia="en-GB"/>
        </w:rPr>
        <w:t xml:space="preserve">All work-related injuries must have a cover decision issued in accordance with ACC legislation. Claims must meet the criteria set out in the Act, including the definitions for the term’s ‘accident’, ‘injury’, and ‘work-related’.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Howden Care work together to assess claims, Howden Care provides a cover recommendation to </w:t>
      </w:r>
      <w:r>
        <w:rPr>
          <w:rFonts w:ascii="Arial" w:hAnsi="Arial" w:cstheme="majorHAnsi"/>
          <w:color w:val="auto"/>
        </w:rPr>
        <w:t>University of Otago on medical fees claims</w:t>
      </w:r>
      <w:r>
        <w:rPr>
          <w:rFonts w:asciiTheme="majorHAnsi" w:hAnsiTheme="majorHAnsi" w:cstheme="majorHAnsi"/>
        </w:rPr>
        <w:t xml:space="preserve"> </w:t>
      </w:r>
      <w:r>
        <w:rPr>
          <w:rFonts w:asciiTheme="majorHAnsi" w:hAnsiTheme="majorHAnsi" w:cstheme="majorHAnsi"/>
          <w:color w:val="auto"/>
        </w:rPr>
        <w:t>and deemed low risk by Howden Care</w:t>
      </w:r>
      <w:r>
        <w:rPr>
          <w:rFonts w:asciiTheme="majorHAnsi" w:hAnsiTheme="majorHAnsi" w:cstheme="majorHAnsi"/>
        </w:rPr>
        <w:t>.</w:t>
      </w:r>
    </w:p>
    <w:p>
      <w:pPr>
        <w:pStyle w:val="5"/>
        <w:rPr>
          <w:rFonts w:asciiTheme="majorHAnsi" w:hAnsiTheme="majorHAnsi" w:cstheme="majorHAnsi"/>
        </w:rPr>
      </w:pPr>
      <w:r>
        <w:rPr>
          <w:rFonts w:asciiTheme="majorHAnsi" w:hAnsiTheme="majorHAnsi" w:cstheme="majorHAnsi"/>
        </w:rPr>
        <w:t xml:space="preserve">Procedures for making cover decisions are reviewed by Howden Care’s Quality Manager when there is a material change to the legislation, as advised by ACC. Procedures are also reviewed when there is a change to key personnel responsible from </w:t>
      </w:r>
      <w:r>
        <w:rPr>
          <w:rFonts w:ascii="Arial" w:hAnsi="Arial" w:cstheme="majorHAnsi"/>
          <w:color w:val="auto"/>
        </w:rPr>
        <w:t>University of Otago</w:t>
      </w:r>
      <w:r>
        <w:rPr>
          <w:rFonts w:asciiTheme="majorHAnsi" w:hAnsiTheme="majorHAnsi" w:cstheme="majorHAnsi"/>
          <w:color w:val="FF0000"/>
        </w:rPr>
        <w:t xml:space="preserve"> </w:t>
      </w:r>
      <w:r>
        <w:rPr>
          <w:rFonts w:asciiTheme="majorHAnsi" w:hAnsiTheme="majorHAnsi" w:cstheme="majorHAnsi"/>
        </w:rPr>
        <w:t>for making cover decisions.</w:t>
      </w:r>
    </w:p>
    <w:p>
      <w:pPr>
        <w:pStyle w:val="5"/>
        <w:rPr>
          <w:rFonts w:asciiTheme="majorHAnsi" w:hAnsiTheme="majorHAnsi" w:cstheme="majorHAnsi"/>
        </w:rPr>
      </w:pPr>
      <w:r>
        <w:rPr>
          <w:rFonts w:asciiTheme="majorHAnsi" w:hAnsiTheme="majorHAnsi" w:cstheme="majorHAnsi"/>
        </w:rPr>
        <w:t>All cover decision recommendations will be made by a person with more than 12 months’ claims management experience.</w:t>
      </w:r>
    </w:p>
    <w:p>
      <w:pPr>
        <w:pStyle w:val="5"/>
        <w:rPr>
          <w:rFonts w:asciiTheme="majorHAnsi" w:hAnsiTheme="majorHAnsi" w:cstheme="majorHAnsi"/>
        </w:rPr>
      </w:pPr>
      <w:r>
        <w:rPr>
          <w:rFonts w:asciiTheme="majorHAnsi" w:hAnsiTheme="majorHAnsi" w:cstheme="majorHAnsi"/>
        </w:rPr>
        <w:t>A selection of cover decisions will be reviewed by Howden Care annually to ensure decisions are correct and comply with the relevant legislation.</w:t>
      </w: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5"/>
        <w:rPr>
          <w:rFonts w:asciiTheme="majorHAnsi" w:hAnsiTheme="majorHAnsi" w:cstheme="majorHAnsi"/>
        </w:rPr>
      </w:pPr>
    </w:p>
    <w:p>
      <w:pPr>
        <w:pStyle w:val="8"/>
        <w:rPr>
          <w:rFonts w:cstheme="majorHAnsi"/>
        </w:rPr>
      </w:pPr>
      <w:bookmarkStart w:id="82" w:name="_Toc90361126"/>
      <w:bookmarkEnd w:id="82"/>
      <w:bookmarkStart w:id="83" w:name="_Toc89680633"/>
      <w:bookmarkEnd w:id="83"/>
      <w:bookmarkStart w:id="84" w:name="_Toc89680546"/>
      <w:bookmarkEnd w:id="84"/>
      <w:bookmarkStart w:id="85" w:name="_Toc89680716"/>
      <w:bookmarkEnd w:id="85"/>
      <w:bookmarkStart w:id="86" w:name="_Toc89680631"/>
      <w:bookmarkEnd w:id="86"/>
      <w:bookmarkStart w:id="87" w:name="_Toc89680719"/>
      <w:bookmarkEnd w:id="87"/>
      <w:bookmarkStart w:id="88" w:name="_Toc89680717"/>
      <w:bookmarkEnd w:id="88"/>
      <w:bookmarkStart w:id="89" w:name="_Toc89680630"/>
      <w:bookmarkEnd w:id="89"/>
      <w:bookmarkStart w:id="90" w:name="_Toc89680632"/>
      <w:bookmarkEnd w:id="90"/>
      <w:bookmarkStart w:id="91" w:name="_Toc90361128"/>
      <w:bookmarkEnd w:id="91"/>
      <w:bookmarkStart w:id="92" w:name="_Toc89680718"/>
      <w:bookmarkEnd w:id="92"/>
      <w:bookmarkStart w:id="93" w:name="_Toc90361129"/>
      <w:bookmarkEnd w:id="93"/>
      <w:bookmarkStart w:id="94" w:name="_Toc89680549"/>
      <w:bookmarkEnd w:id="94"/>
      <w:bookmarkStart w:id="95" w:name="_Toc89680548"/>
      <w:bookmarkEnd w:id="95"/>
      <w:bookmarkStart w:id="96" w:name="_Toc89680547"/>
      <w:bookmarkEnd w:id="96"/>
      <w:bookmarkStart w:id="97" w:name="_Toc90361127"/>
      <w:bookmarkEnd w:id="97"/>
      <w:bookmarkStart w:id="98" w:name="_Toc354387445"/>
      <w:bookmarkStart w:id="99" w:name="_Toc101532325"/>
      <w:bookmarkStart w:id="100" w:name="_Toc1533872503"/>
      <w:bookmarkStart w:id="101" w:name="_Toc90394246"/>
      <w:bookmarkStart w:id="102" w:name="_Toc90388341"/>
      <w:bookmarkStart w:id="103" w:name="_Toc258154181"/>
      <w:bookmarkStart w:id="104" w:name="_Toc101453858"/>
      <w:bookmarkStart w:id="105" w:name="_Toc657932846"/>
      <w:r>
        <w:rPr>
          <w:rFonts w:cstheme="majorHAnsi"/>
        </w:rPr>
        <w:t>5.2.1</w:t>
      </w:r>
      <w:r>
        <w:rPr>
          <w:rFonts w:cstheme="majorHAnsi"/>
        </w:rPr>
        <w:tab/>
      </w:r>
      <w:r>
        <w:rPr>
          <w:rFonts w:cstheme="majorHAnsi"/>
        </w:rPr>
        <w:t>PICBA claims</w:t>
      </w:r>
      <w:bookmarkEnd w:id="98"/>
      <w:bookmarkEnd w:id="99"/>
      <w:bookmarkEnd w:id="100"/>
      <w:bookmarkEnd w:id="101"/>
      <w:bookmarkEnd w:id="102"/>
      <w:bookmarkEnd w:id="103"/>
      <w:bookmarkEnd w:id="104"/>
      <w:bookmarkEnd w:id="105"/>
    </w:p>
    <w:p>
      <w:pPr>
        <w:pStyle w:val="5"/>
        <w:rPr>
          <w:rFonts w:asciiTheme="majorHAnsi" w:hAnsiTheme="majorHAnsi" w:cstheme="majorHAnsi"/>
        </w:rPr>
      </w:pPr>
      <w:r>
        <w:rPr>
          <w:rFonts w:asciiTheme="majorHAnsi" w:hAnsiTheme="majorHAnsi" w:cstheme="majorHAnsi"/>
          <w:lang w:eastAsia="en-GB"/>
        </w:rPr>
        <w:t xml:space="preserve">For personal injury caused by accident (PICBA) claims a cover decision must be issued within 21 days from the date the claim was lodged with either ACC, </w:t>
      </w:r>
      <w:r>
        <w:rPr>
          <w:rFonts w:ascii="Arial" w:hAnsi="Arial" w:cstheme="majorHAnsi"/>
          <w:color w:val="auto"/>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 xml:space="preserve">or Howden Care. A </w:t>
      </w:r>
      <w:r>
        <w:rPr>
          <w:rFonts w:asciiTheme="majorHAnsi" w:hAnsiTheme="majorHAnsi" w:cstheme="majorHAnsi"/>
        </w:rPr>
        <w:t>simple PICBA claim is where there is no lost time, and the decision can be made within the 21 day timeframe. These decisions can be based on the ACC45 claim form, the work injury report and if necessary, the initial medical consultation notes. Kaimahi-staff consent is not needed for these claims.</w:t>
      </w:r>
    </w:p>
    <w:p>
      <w:pPr>
        <w:pStyle w:val="5"/>
        <w:rPr>
          <w:rFonts w:asciiTheme="majorHAnsi" w:hAnsiTheme="majorHAnsi" w:cstheme="majorHAnsi"/>
        </w:rPr>
      </w:pPr>
      <w:r>
        <w:rPr>
          <w:rFonts w:asciiTheme="majorHAnsi" w:hAnsiTheme="majorHAnsi" w:cstheme="majorHAnsi"/>
        </w:rPr>
        <w:t>If the claim requires more information, t</w:t>
      </w:r>
      <w:r>
        <w:rPr>
          <w:rFonts w:asciiTheme="majorHAnsi" w:hAnsiTheme="majorHAnsi" w:cstheme="majorHAnsi"/>
          <w:lang w:eastAsia="en-GB"/>
        </w:rPr>
        <w:t>he 21-day timeframe can be can extended for up to four months by sending a letter to the Kaimahi-staff advising them why this timeframe needs to be extended. F</w:t>
      </w:r>
      <w:r>
        <w:rPr>
          <w:rFonts w:asciiTheme="majorHAnsi" w:hAnsiTheme="majorHAnsi" w:cstheme="majorHAnsi"/>
        </w:rPr>
        <w:t>ollowing receipt of the employees’ consent, information will be requested and/or assessments arranged. The further information needed could be:</w:t>
      </w:r>
    </w:p>
    <w:p>
      <w:pPr>
        <w:pStyle w:val="292"/>
        <w:rPr>
          <w:rFonts w:asciiTheme="majorHAnsi" w:hAnsiTheme="majorHAnsi" w:cstheme="majorHAnsi"/>
        </w:rPr>
      </w:pPr>
      <w:r>
        <w:rPr>
          <w:rFonts w:asciiTheme="majorHAnsi" w:hAnsiTheme="majorHAnsi" w:cstheme="majorHAnsi"/>
        </w:rPr>
        <w:t>Medical notes</w:t>
      </w:r>
    </w:p>
    <w:p>
      <w:pPr>
        <w:pStyle w:val="292"/>
        <w:rPr>
          <w:rFonts w:asciiTheme="majorHAnsi" w:hAnsiTheme="majorHAnsi" w:cstheme="majorHAnsi"/>
        </w:rPr>
      </w:pPr>
      <w:r>
        <w:rPr>
          <w:rFonts w:asciiTheme="majorHAnsi" w:hAnsiTheme="majorHAnsi" w:cstheme="majorHAnsi"/>
        </w:rPr>
        <w:t>Information regarding how the accident occurred.</w:t>
      </w:r>
    </w:p>
    <w:p>
      <w:pPr>
        <w:pStyle w:val="292"/>
        <w:rPr>
          <w:rFonts w:asciiTheme="majorHAnsi" w:hAnsiTheme="majorHAnsi" w:cstheme="majorHAnsi"/>
        </w:rPr>
      </w:pPr>
      <w:r>
        <w:rPr>
          <w:rFonts w:asciiTheme="majorHAnsi" w:hAnsiTheme="majorHAnsi" w:cstheme="majorHAnsi"/>
        </w:rPr>
        <w:t>Medical specialist review</w:t>
      </w:r>
    </w:p>
    <w:p>
      <w:pPr>
        <w:pStyle w:val="292"/>
        <w:rPr>
          <w:rFonts w:asciiTheme="majorHAnsi" w:hAnsiTheme="majorHAnsi" w:cstheme="majorHAnsi"/>
        </w:rPr>
      </w:pPr>
      <w:r>
        <w:rPr>
          <w:rFonts w:asciiTheme="majorHAnsi" w:hAnsiTheme="majorHAnsi" w:cstheme="majorHAnsi"/>
        </w:rPr>
        <w:t>Worksite assessment</w:t>
      </w:r>
    </w:p>
    <w:p>
      <w:pPr>
        <w:pStyle w:val="5"/>
        <w:rPr>
          <w:rFonts w:asciiTheme="majorHAnsi" w:hAnsiTheme="majorHAnsi" w:cstheme="majorHAnsi"/>
        </w:rPr>
      </w:pPr>
      <w:r>
        <w:rPr>
          <w:rFonts w:asciiTheme="majorHAnsi" w:hAnsiTheme="majorHAnsi" w:cstheme="majorHAnsi"/>
        </w:rPr>
        <w:t xml:space="preserve">The cover decision will be based on all relevant information (see section 5.1.2 to confirm employment status and incident report). </w:t>
      </w:r>
    </w:p>
    <w:p>
      <w:pPr>
        <w:pStyle w:val="8"/>
        <w:rPr>
          <w:rFonts w:cstheme="majorHAnsi"/>
        </w:rPr>
      </w:pPr>
      <w:bookmarkStart w:id="106" w:name="_Toc89680722"/>
      <w:bookmarkEnd w:id="106"/>
      <w:bookmarkStart w:id="107" w:name="_Toc89680552"/>
      <w:bookmarkEnd w:id="107"/>
      <w:bookmarkStart w:id="108" w:name="_Toc89680636"/>
      <w:bookmarkEnd w:id="108"/>
      <w:bookmarkStart w:id="109" w:name="_Toc90361132"/>
      <w:bookmarkEnd w:id="109"/>
      <w:bookmarkStart w:id="110" w:name="_Toc90388342"/>
      <w:bookmarkStart w:id="111" w:name="_Toc1400675359"/>
      <w:bookmarkStart w:id="112" w:name="_Toc90394247"/>
      <w:bookmarkStart w:id="113" w:name="_Toc1245393964"/>
      <w:bookmarkStart w:id="114" w:name="_Toc2098296360"/>
      <w:bookmarkStart w:id="115" w:name="_Toc2086423278"/>
      <w:bookmarkStart w:id="116" w:name="_Toc101453859"/>
      <w:bookmarkStart w:id="117" w:name="_Toc101532326"/>
      <w:r>
        <w:rPr>
          <w:rFonts w:cstheme="majorHAnsi"/>
        </w:rPr>
        <w:t>5.2.2</w:t>
      </w:r>
      <w:r>
        <w:rPr>
          <w:rFonts w:cstheme="majorHAnsi"/>
        </w:rPr>
        <w:tab/>
      </w:r>
      <w:r>
        <w:rPr>
          <w:rFonts w:cstheme="majorHAnsi"/>
        </w:rPr>
        <w:t>Complicated claims</w:t>
      </w:r>
      <w:bookmarkEnd w:id="110"/>
      <w:bookmarkEnd w:id="111"/>
      <w:bookmarkEnd w:id="112"/>
      <w:bookmarkEnd w:id="113"/>
      <w:bookmarkEnd w:id="114"/>
      <w:bookmarkEnd w:id="115"/>
      <w:bookmarkEnd w:id="116"/>
      <w:bookmarkEnd w:id="117"/>
    </w:p>
    <w:p>
      <w:pPr>
        <w:pStyle w:val="5"/>
        <w:rPr>
          <w:rFonts w:asciiTheme="majorHAnsi" w:hAnsiTheme="majorHAnsi" w:cstheme="majorHAnsi"/>
          <w:lang w:eastAsia="en-GB"/>
        </w:rPr>
      </w:pPr>
      <w:r>
        <w:rPr>
          <w:rFonts w:asciiTheme="majorHAnsi" w:hAnsiTheme="majorHAnsi" w:cstheme="majorHAnsi"/>
        </w:rPr>
        <w:t>The following claims are considered as c</w:t>
      </w:r>
      <w:r>
        <w:rPr>
          <w:rFonts w:asciiTheme="majorHAnsi" w:hAnsiTheme="majorHAnsi" w:cstheme="majorHAnsi"/>
          <w:lang w:eastAsia="en-GB"/>
        </w:rPr>
        <w:t>omplicated claims under the ACC legislation:</w:t>
      </w:r>
    </w:p>
    <w:p>
      <w:pPr>
        <w:pStyle w:val="292"/>
        <w:rPr>
          <w:rFonts w:asciiTheme="majorHAnsi" w:hAnsiTheme="majorHAnsi" w:cstheme="majorHAnsi"/>
        </w:rPr>
      </w:pPr>
      <w:r>
        <w:rPr>
          <w:rFonts w:asciiTheme="majorHAnsi" w:hAnsiTheme="majorHAnsi" w:cstheme="majorHAnsi"/>
        </w:rPr>
        <w:t>Work related gradual process, disease or infection claims (WRGPDI)</w:t>
      </w:r>
    </w:p>
    <w:p>
      <w:pPr>
        <w:pStyle w:val="292"/>
        <w:rPr>
          <w:rFonts w:asciiTheme="majorHAnsi" w:hAnsiTheme="majorHAnsi" w:cstheme="majorHAnsi"/>
        </w:rPr>
      </w:pPr>
      <w:r>
        <w:rPr>
          <w:rFonts w:asciiTheme="majorHAnsi" w:hAnsiTheme="majorHAnsi" w:cstheme="majorHAnsi"/>
        </w:rPr>
        <w:t>Claims lodged more than 12 months following accident date.</w:t>
      </w:r>
    </w:p>
    <w:p>
      <w:pPr>
        <w:pStyle w:val="292"/>
        <w:rPr>
          <w:rFonts w:asciiTheme="majorHAnsi" w:hAnsiTheme="majorHAnsi" w:cstheme="majorHAnsi"/>
        </w:rPr>
      </w:pPr>
      <w:r>
        <w:rPr>
          <w:rFonts w:asciiTheme="majorHAnsi" w:hAnsiTheme="majorHAnsi" w:cstheme="majorHAnsi"/>
        </w:rPr>
        <w:t>Treatment injury</w:t>
      </w:r>
    </w:p>
    <w:p>
      <w:pPr>
        <w:pStyle w:val="292"/>
        <w:rPr>
          <w:rFonts w:asciiTheme="majorHAnsi" w:hAnsiTheme="majorHAnsi" w:cstheme="majorHAnsi"/>
        </w:rPr>
      </w:pPr>
      <w:r>
        <w:rPr>
          <w:rFonts w:asciiTheme="majorHAnsi" w:hAnsiTheme="majorHAnsi" w:cstheme="majorHAnsi"/>
        </w:rPr>
        <w:t>Mental injury claims</w:t>
      </w:r>
    </w:p>
    <w:p>
      <w:pPr>
        <w:pStyle w:val="5"/>
        <w:rPr>
          <w:rFonts w:asciiTheme="majorHAnsi" w:hAnsiTheme="majorHAnsi" w:cstheme="majorHAnsi"/>
        </w:rPr>
      </w:pPr>
      <w:r>
        <w:rPr>
          <w:rFonts w:eastAsia="Times New Roman" w:asciiTheme="majorHAnsi" w:hAnsiTheme="majorHAnsi" w:cstheme="majorHAnsi"/>
          <w:lang w:eastAsia="en-GB"/>
        </w:rPr>
        <w:t xml:space="preserve">Cover decisions must be made within two months of the claim being lodged with either ACC, </w:t>
      </w:r>
      <w:r>
        <w:rPr>
          <w:rFonts w:ascii="Arial" w:hAnsi="Arial" w:cstheme="majorHAnsi"/>
          <w:color w:val="auto"/>
        </w:rPr>
        <w:t>University of Otago</w:t>
      </w:r>
      <w:r>
        <w:rPr>
          <w:rFonts w:eastAsia="Times New Roman" w:asciiTheme="majorHAnsi" w:hAnsiTheme="majorHAnsi" w:cstheme="majorHAnsi"/>
          <w:color w:val="auto"/>
          <w:lang w:eastAsia="en-GB"/>
        </w:rPr>
        <w:t xml:space="preserve"> </w:t>
      </w:r>
      <w:r>
        <w:rPr>
          <w:rFonts w:eastAsia="Times New Roman" w:asciiTheme="majorHAnsi" w:hAnsiTheme="majorHAnsi" w:cstheme="majorHAnsi"/>
          <w:lang w:eastAsia="en-GB"/>
        </w:rPr>
        <w:t xml:space="preserve">or Howden Care. </w:t>
      </w:r>
      <w:r>
        <w:rPr>
          <w:rFonts w:asciiTheme="majorHAnsi" w:hAnsiTheme="majorHAnsi" w:cstheme="majorHAnsi"/>
        </w:rPr>
        <w:t>Following receipt of the employees' consent, further information will be requested and/or assessments arranged. The further information requested could be:</w:t>
      </w:r>
    </w:p>
    <w:p>
      <w:pPr>
        <w:pStyle w:val="292"/>
        <w:rPr>
          <w:rFonts w:asciiTheme="majorHAnsi" w:hAnsiTheme="majorHAnsi" w:cstheme="majorHAnsi"/>
        </w:rPr>
      </w:pPr>
      <w:r>
        <w:rPr>
          <w:rFonts w:asciiTheme="majorHAnsi" w:hAnsiTheme="majorHAnsi" w:cstheme="majorHAnsi"/>
        </w:rPr>
        <w:t>Medical notes</w:t>
      </w:r>
    </w:p>
    <w:p>
      <w:pPr>
        <w:pStyle w:val="292"/>
        <w:rPr>
          <w:rFonts w:asciiTheme="majorHAnsi" w:hAnsiTheme="majorHAnsi" w:cstheme="majorHAnsi"/>
        </w:rPr>
      </w:pPr>
      <w:r>
        <w:rPr>
          <w:rFonts w:asciiTheme="majorHAnsi" w:hAnsiTheme="majorHAnsi" w:cstheme="majorHAnsi"/>
        </w:rPr>
        <w:t>Information regarding how the accident occurred.</w:t>
      </w:r>
    </w:p>
    <w:p>
      <w:pPr>
        <w:pStyle w:val="292"/>
        <w:rPr>
          <w:rFonts w:asciiTheme="majorHAnsi" w:hAnsiTheme="majorHAnsi" w:cstheme="majorHAnsi"/>
        </w:rPr>
      </w:pPr>
      <w:r>
        <w:rPr>
          <w:rFonts w:asciiTheme="majorHAnsi" w:hAnsiTheme="majorHAnsi" w:cstheme="majorHAnsi"/>
        </w:rPr>
        <w:t>Medical specialist review</w:t>
      </w:r>
    </w:p>
    <w:p>
      <w:pPr>
        <w:pStyle w:val="292"/>
        <w:rPr>
          <w:rFonts w:asciiTheme="majorHAnsi" w:hAnsiTheme="majorHAnsi" w:cstheme="majorHAnsi"/>
        </w:rPr>
      </w:pPr>
      <w:r>
        <w:rPr>
          <w:rFonts w:asciiTheme="majorHAnsi" w:hAnsiTheme="majorHAnsi" w:cstheme="majorHAnsi"/>
        </w:rPr>
        <w:t>Worksite assessment</w:t>
      </w:r>
    </w:p>
    <w:p>
      <w:pPr>
        <w:pStyle w:val="5"/>
        <w:rPr>
          <w:rFonts w:asciiTheme="majorHAnsi" w:hAnsiTheme="majorHAnsi" w:cstheme="majorHAnsi"/>
          <w:lang w:eastAsia="en-GB"/>
        </w:rPr>
      </w:pPr>
      <w:r>
        <w:rPr>
          <w:rFonts w:asciiTheme="majorHAnsi" w:hAnsiTheme="majorHAnsi" w:cstheme="majorHAnsi"/>
          <w:lang w:eastAsia="en-GB"/>
        </w:rPr>
        <w:t>The two-month timeframe can be extended for two more months by advising the Kaimahi-staff in writing why this timeframe needs to be extended. If necessary, a further extension to a maximum of nine months from date of lodgement can be made with the agreement of the employee. If the Kaimahi-staff does not agree to the extension, a cover decision will be made with the information available.</w:t>
      </w:r>
    </w:p>
    <w:p>
      <w:pPr>
        <w:pStyle w:val="5"/>
        <w:rPr>
          <w:rFonts w:asciiTheme="majorHAnsi" w:hAnsiTheme="majorHAnsi" w:cstheme="majorHAnsi"/>
        </w:rPr>
      </w:pPr>
      <w:r>
        <w:rPr>
          <w:rFonts w:asciiTheme="majorHAnsi" w:hAnsiTheme="majorHAnsi" w:cstheme="majorHAnsi"/>
        </w:rPr>
        <w:t>The cover decision will be based on all relevant information.  For med fees only claims, Howden Care recommend cover decisions.  For high-risk claims, the individual may be referred to the Occupational Physician or specialist for further information for a decision to be made.  In all cases, it is the responsibility of the University of Otago to make the claim cover decision.</w:t>
      </w:r>
    </w:p>
    <w:p>
      <w:pPr>
        <w:pStyle w:val="8"/>
        <w:rPr>
          <w:rFonts w:cstheme="majorHAnsi"/>
        </w:rPr>
      </w:pPr>
      <w:bookmarkStart w:id="118" w:name="_Toc1147219136"/>
      <w:bookmarkStart w:id="119" w:name="_Toc17204275"/>
      <w:bookmarkStart w:id="120" w:name="_Toc2061977792"/>
      <w:bookmarkStart w:id="121" w:name="_Toc90388343"/>
      <w:bookmarkStart w:id="122" w:name="_Toc90394248"/>
      <w:bookmarkStart w:id="123" w:name="_Toc491358874"/>
      <w:bookmarkStart w:id="124" w:name="_Toc101453860"/>
      <w:bookmarkStart w:id="125" w:name="_Toc101532327"/>
      <w:r>
        <w:rPr>
          <w:rFonts w:cstheme="majorHAnsi"/>
        </w:rPr>
        <w:t>5.2.3</w:t>
      </w:r>
      <w:r>
        <w:rPr>
          <w:rFonts w:cstheme="majorHAnsi"/>
        </w:rPr>
        <w:tab/>
      </w:r>
      <w:r>
        <w:rPr>
          <w:rFonts w:cstheme="majorHAnsi"/>
        </w:rPr>
        <w:t>Accepted claims</w:t>
      </w:r>
      <w:bookmarkEnd w:id="118"/>
      <w:bookmarkEnd w:id="119"/>
      <w:bookmarkEnd w:id="120"/>
      <w:bookmarkEnd w:id="121"/>
      <w:bookmarkEnd w:id="122"/>
      <w:bookmarkEnd w:id="123"/>
      <w:bookmarkEnd w:id="124"/>
      <w:bookmarkEnd w:id="125"/>
    </w:p>
    <w:p>
      <w:pPr>
        <w:pStyle w:val="5"/>
        <w:rPr>
          <w:rFonts w:asciiTheme="majorHAnsi" w:hAnsiTheme="majorHAnsi" w:cstheme="majorHAnsi"/>
        </w:rPr>
      </w:pPr>
      <w:r>
        <w:rPr>
          <w:rFonts w:asciiTheme="majorHAnsi" w:hAnsiTheme="majorHAnsi" w:cstheme="majorHAnsi"/>
        </w:rPr>
        <w:t xml:space="preserve">For all accepted claims an acceptance letter together with an entitlement fact sheet will be sent/emailed to the employee. The letter also advises people of their right to have the decision reviewed if they do not agree with it. </w:t>
      </w:r>
    </w:p>
    <w:p>
      <w:pPr>
        <w:pStyle w:val="5"/>
        <w:rPr>
          <w:rFonts w:asciiTheme="majorHAnsi" w:hAnsiTheme="majorHAnsi" w:cstheme="majorHAnsi"/>
        </w:rPr>
      </w:pPr>
      <w:r>
        <w:rPr>
          <w:rFonts w:asciiTheme="majorHAnsi" w:hAnsiTheme="majorHAnsi" w:cstheme="majorHAnsi"/>
        </w:rPr>
        <w:t>The claimant will be informed of where the data and related information is to be held (Figtree and MedTech), including outlining who has access to the systems.  Kaimahi-staff are able to access their information on request and correct information if required.  Kaimahi will be informed that their manager will be notified of the accepted claim and any required rehabilitation or workplace support.</w:t>
      </w:r>
    </w:p>
    <w:p>
      <w:pPr>
        <w:pStyle w:val="5"/>
        <w:rPr>
          <w:rFonts w:asciiTheme="majorHAnsi" w:hAnsiTheme="majorHAnsi" w:cstheme="majorHAnsi"/>
        </w:rPr>
      </w:pPr>
    </w:p>
    <w:p>
      <w:pPr>
        <w:pStyle w:val="5"/>
        <w:rPr>
          <w:rFonts w:asciiTheme="majorHAnsi" w:hAnsiTheme="majorHAnsi" w:cstheme="majorHAnsi"/>
        </w:rPr>
      </w:pPr>
      <w:r>
        <w:rPr>
          <w:rFonts w:asciiTheme="majorHAnsi" w:hAnsiTheme="majorHAnsi" w:cstheme="majorHAnsi"/>
        </w:rPr>
        <w:t>The OHN will advise the Line Manager of the ACC accepted claim and intended management of the claim.</w:t>
      </w:r>
    </w:p>
    <w:p>
      <w:pPr>
        <w:pStyle w:val="5"/>
        <w:rPr>
          <w:rFonts w:asciiTheme="majorHAnsi" w:hAnsiTheme="majorHAnsi" w:cstheme="majorHAnsi"/>
        </w:rPr>
      </w:pPr>
    </w:p>
    <w:p>
      <w:pPr>
        <w:pStyle w:val="8"/>
        <w:rPr>
          <w:rFonts w:cstheme="majorHAnsi"/>
        </w:rPr>
      </w:pPr>
      <w:bookmarkStart w:id="126" w:name="_Toc101532328"/>
      <w:bookmarkStart w:id="127" w:name="_Toc90394249"/>
      <w:bookmarkStart w:id="128" w:name="_Toc1679503862"/>
      <w:bookmarkStart w:id="129" w:name="_Toc657672541"/>
      <w:bookmarkStart w:id="130" w:name="_Toc1269024037"/>
      <w:bookmarkStart w:id="131" w:name="_Toc90388344"/>
      <w:bookmarkStart w:id="132" w:name="_Toc1074360953"/>
      <w:bookmarkStart w:id="133" w:name="_Toc101453861"/>
      <w:r>
        <w:rPr>
          <w:rFonts w:cstheme="majorHAnsi"/>
        </w:rPr>
        <w:t>5.2.4</w:t>
      </w:r>
      <w:r>
        <w:rPr>
          <w:rFonts w:cstheme="majorHAnsi"/>
        </w:rPr>
        <w:tab/>
      </w:r>
      <w:r>
        <w:rPr>
          <w:rFonts w:cstheme="majorHAnsi"/>
        </w:rPr>
        <w:t>Declined claims</w:t>
      </w:r>
      <w:bookmarkEnd w:id="126"/>
      <w:bookmarkEnd w:id="127"/>
      <w:bookmarkEnd w:id="128"/>
      <w:bookmarkEnd w:id="129"/>
      <w:bookmarkEnd w:id="130"/>
      <w:bookmarkEnd w:id="131"/>
      <w:bookmarkEnd w:id="132"/>
      <w:bookmarkEnd w:id="133"/>
    </w:p>
    <w:p>
      <w:pPr>
        <w:pStyle w:val="5"/>
        <w:rPr>
          <w:rFonts w:asciiTheme="majorHAnsi" w:hAnsiTheme="majorHAnsi" w:cstheme="majorHAnsi"/>
        </w:rPr>
      </w:pPr>
      <w:r>
        <w:rPr>
          <w:rFonts w:asciiTheme="majorHAnsi" w:hAnsiTheme="majorHAnsi" w:cstheme="majorHAnsi"/>
        </w:rPr>
        <w:t xml:space="preserve">A claim will be declined if it does not meet the legislative requirements. Throughout the cover making process Howden Care will explain the criteria for claim acceptance. </w:t>
      </w:r>
    </w:p>
    <w:p>
      <w:pPr>
        <w:pStyle w:val="5"/>
        <w:rPr>
          <w:rFonts w:asciiTheme="majorHAnsi" w:hAnsiTheme="majorHAnsi" w:cstheme="majorHAnsi"/>
        </w:rPr>
      </w:pPr>
      <w:r>
        <w:rPr>
          <w:rFonts w:asciiTheme="majorHAnsi" w:hAnsiTheme="majorHAnsi" w:cstheme="majorHAnsi"/>
        </w:rPr>
        <w:t xml:space="preserve">If the claim is declined, the OHN will contact the Kaimahi-staff to discuss the reason for the decision and advise them of their right to have the decision reviewed. Reasonable attempts will be made to contact the Kaimahi-staff to discuss the decision. A decline letter will be posted or emailed to the Kaimahi-staff to explain the reason for the claim being declined and advise them of their right to request a review of the decision. The </w:t>
      </w:r>
      <w:r>
        <w:rPr>
          <w:rFonts w:asciiTheme="majorHAnsi" w:hAnsiTheme="majorHAnsi" w:cstheme="majorHAnsi"/>
          <w:color w:val="00B0F0"/>
        </w:rPr>
        <w:t>Finding Solutions</w:t>
      </w:r>
      <w:r>
        <w:rPr>
          <w:rFonts w:asciiTheme="majorHAnsi" w:hAnsiTheme="majorHAnsi" w:cstheme="majorHAnsi"/>
          <w:i/>
          <w:color w:val="00B0F0"/>
        </w:rPr>
        <w:t xml:space="preserve"> </w:t>
      </w:r>
      <w:r>
        <w:rPr>
          <w:rFonts w:asciiTheme="majorHAnsi" w:hAnsiTheme="majorHAnsi" w:cstheme="majorHAnsi"/>
        </w:rPr>
        <w:t>fact sheet will also be attached.</w:t>
      </w:r>
    </w:p>
    <w:p>
      <w:pPr>
        <w:pStyle w:val="5"/>
        <w:rPr>
          <w:rFonts w:asciiTheme="majorHAnsi" w:hAnsiTheme="majorHAnsi" w:cstheme="majorHAnsi"/>
        </w:rPr>
      </w:pPr>
      <w:r>
        <w:rPr>
          <w:rFonts w:asciiTheme="majorHAnsi" w:hAnsiTheme="majorHAnsi" w:cstheme="majorHAnsi"/>
        </w:rPr>
        <w:t>The OHN will advise the Line Manager of the ACC declined claim.</w:t>
      </w:r>
    </w:p>
    <w:p>
      <w:pPr>
        <w:pStyle w:val="2"/>
        <w:rPr>
          <w:rFonts w:cstheme="majorHAnsi"/>
        </w:rPr>
      </w:pPr>
      <w:bookmarkStart w:id="134" w:name="_Toc1281079120"/>
      <w:bookmarkStart w:id="135" w:name="_Toc1857116802"/>
      <w:bookmarkStart w:id="136" w:name="_Toc2096868754"/>
      <w:bookmarkStart w:id="137" w:name="_Toc101532329"/>
      <w:bookmarkStart w:id="138" w:name="_Toc101453862"/>
      <w:bookmarkStart w:id="139" w:name="_Toc1715709459"/>
      <w:bookmarkStart w:id="140" w:name="_Toc90388345"/>
      <w:bookmarkStart w:id="141" w:name="_Toc90394250"/>
      <w:r>
        <w:rPr>
          <w:rFonts w:cstheme="majorHAnsi"/>
        </w:rPr>
        <w:t>CLAIMS MANAGEMENT</w:t>
      </w:r>
      <w:bookmarkEnd w:id="134"/>
      <w:bookmarkEnd w:id="135"/>
      <w:bookmarkEnd w:id="136"/>
      <w:bookmarkEnd w:id="137"/>
      <w:bookmarkEnd w:id="138"/>
      <w:bookmarkEnd w:id="139"/>
      <w:bookmarkEnd w:id="140"/>
      <w:bookmarkEnd w:id="141"/>
    </w:p>
    <w:p>
      <w:pPr>
        <w:pStyle w:val="5"/>
        <w:rPr>
          <w:rFonts w:asciiTheme="majorHAnsi" w:hAnsiTheme="majorHAnsi" w:cstheme="majorHAnsi"/>
          <w:lang w:eastAsia="en-GB"/>
        </w:rPr>
      </w:pPr>
      <w:r>
        <w:rPr>
          <w:rFonts w:asciiTheme="majorHAnsi" w:hAnsiTheme="majorHAnsi" w:cstheme="majorHAnsi"/>
        </w:rPr>
        <w:t>W</w:t>
      </w:r>
      <w:r>
        <w:rPr>
          <w:rFonts w:asciiTheme="majorHAnsi" w:hAnsiTheme="majorHAnsi" w:cstheme="majorHAnsi"/>
          <w:lang w:eastAsia="en-GB"/>
        </w:rPr>
        <w:t xml:space="preserve">ork injury claims are managed according to the requirements of the Accident Compensation Act 2001 and responsibilities under the Accredited Employer Accreditation Agreement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holds</w:t>
      </w:r>
      <w:r>
        <w:rPr>
          <w:rFonts w:asciiTheme="majorHAnsi" w:hAnsiTheme="majorHAnsi" w:cstheme="majorHAnsi"/>
          <w:lang w:eastAsia="en-GB"/>
        </w:rPr>
        <w:t xml:space="preserve"> with ACC. If additional claim services are provided the Kaimahi-staff will be notified that these are additional, and that ACC would not provide them if they took over the management of the claim. </w:t>
      </w:r>
      <w:r>
        <w:fldChar w:fldCharType="begin"/>
      </w:r>
      <w:r>
        <w:instrText xml:space="preserve"> HYPERLINK \l "_Appendix_1-_Claims" </w:instrText>
      </w:r>
      <w:r>
        <w:fldChar w:fldCharType="separate"/>
      </w:r>
      <w:r>
        <w:rPr>
          <w:rStyle w:val="55"/>
          <w:rFonts w:eastAsia="Times New Roman" w:asciiTheme="majorHAnsi" w:hAnsiTheme="majorHAnsi" w:cstheme="majorHAnsi"/>
          <w:lang w:eastAsia="en-GB"/>
        </w:rPr>
        <w:t>Appendix 1- Claims Overview</w:t>
      </w:r>
      <w:r>
        <w:rPr>
          <w:rStyle w:val="55"/>
          <w:rFonts w:eastAsia="Times New Roman" w:asciiTheme="majorHAnsi" w:hAnsiTheme="majorHAnsi" w:cstheme="majorHAnsi"/>
          <w:lang w:eastAsia="en-GB"/>
        </w:rPr>
        <w:fldChar w:fldCharType="end"/>
      </w:r>
      <w:r>
        <w:rPr>
          <w:rFonts w:asciiTheme="majorHAnsi" w:hAnsiTheme="majorHAnsi" w:cstheme="majorHAnsi"/>
          <w:color w:val="000000"/>
          <w:lang w:eastAsia="en-GB"/>
        </w:rPr>
        <w:t xml:space="preserve"> </w:t>
      </w:r>
      <w:r>
        <w:rPr>
          <w:rFonts w:asciiTheme="majorHAnsi" w:hAnsiTheme="majorHAnsi" w:cstheme="majorHAnsi"/>
          <w:lang w:eastAsia="en-GB"/>
        </w:rPr>
        <w:t>provides an overview of the claims management process.</w:t>
      </w:r>
    </w:p>
    <w:p>
      <w:pPr>
        <w:pStyle w:val="7"/>
        <w:rPr>
          <w:rFonts w:cstheme="majorHAnsi"/>
        </w:rPr>
      </w:pPr>
      <w:bookmarkStart w:id="142" w:name="_Toc90388346"/>
      <w:bookmarkStart w:id="143" w:name="_Toc90394251"/>
      <w:bookmarkStart w:id="144" w:name="_Toc101453863"/>
      <w:bookmarkStart w:id="145" w:name="_Toc101532330"/>
      <w:bookmarkStart w:id="146" w:name="_Toc983463816"/>
      <w:bookmarkStart w:id="147" w:name="_Toc1327248991"/>
      <w:bookmarkStart w:id="148" w:name="_Toc1376991557"/>
      <w:bookmarkStart w:id="149" w:name="_Toc942687227"/>
      <w:r>
        <w:rPr>
          <w:rFonts w:cstheme="majorHAnsi"/>
        </w:rPr>
        <w:t>6.1</w:t>
      </w:r>
      <w:r>
        <w:rPr>
          <w:rFonts w:cstheme="majorHAnsi"/>
        </w:rPr>
        <w:tab/>
      </w:r>
      <w:r>
        <w:rPr>
          <w:rFonts w:cstheme="majorHAnsi"/>
        </w:rPr>
        <w:t>Claim triage and risk classification</w:t>
      </w:r>
      <w:bookmarkEnd w:id="142"/>
      <w:bookmarkEnd w:id="143"/>
      <w:bookmarkEnd w:id="144"/>
      <w:bookmarkEnd w:id="145"/>
      <w:r>
        <w:rPr>
          <w:rFonts w:cstheme="majorHAnsi"/>
        </w:rPr>
        <w:t xml:space="preserve"> </w:t>
      </w:r>
      <w:bookmarkEnd w:id="146"/>
      <w:bookmarkEnd w:id="147"/>
      <w:bookmarkEnd w:id="148"/>
      <w:bookmarkEnd w:id="149"/>
    </w:p>
    <w:p>
      <w:pPr>
        <w:pStyle w:val="5"/>
        <w:rPr>
          <w:rFonts w:asciiTheme="majorHAnsi" w:hAnsiTheme="majorHAnsi" w:cstheme="majorHAnsi"/>
        </w:rPr>
      </w:pPr>
      <w:r>
        <w:rPr>
          <w:rFonts w:asciiTheme="majorHAnsi" w:hAnsiTheme="majorHAnsi" w:cstheme="majorHAnsi"/>
        </w:rPr>
        <w:t>All claims are triaged on receipt by Howden Care or the University of Otago. This includes the type of injury, how the accident occurred, and the length of time certified off work.</w:t>
      </w:r>
    </w:p>
    <w:p>
      <w:pPr>
        <w:pStyle w:val="5"/>
        <w:rPr>
          <w:rFonts w:asciiTheme="majorHAnsi" w:hAnsiTheme="majorHAnsi" w:cstheme="majorHAnsi"/>
        </w:rPr>
      </w:pPr>
      <w:r>
        <w:rPr>
          <w:rFonts w:asciiTheme="majorHAnsi" w:hAnsiTheme="majorHAnsi" w:cstheme="majorHAnsi"/>
        </w:rPr>
        <w:t>The claim risk classifications are as follows:</w:t>
      </w:r>
    </w:p>
    <w:tbl>
      <w:tblPr>
        <w:tblStyle w:val="115"/>
        <w:tblW w:w="0" w:type="auto"/>
        <w:tblInd w:w="0" w:type="dxa"/>
        <w:tblBorders>
          <w:top w:val="single" w:color="152C46" w:themeColor="text1" w:sz="4" w:space="0"/>
          <w:left w:val="none" w:color="auto" w:sz="0" w:space="0"/>
          <w:bottom w:val="single" w:color="152C46" w:themeColor="text1" w:sz="4" w:space="0"/>
          <w:right w:val="none" w:color="auto" w:sz="0" w:space="0"/>
          <w:insideH w:val="single" w:color="152C46" w:themeColor="text1" w:sz="4" w:space="0"/>
          <w:insideV w:val="none" w:color="auto" w:sz="0" w:space="0"/>
        </w:tblBorders>
        <w:tblLayout w:type="autofit"/>
        <w:tblCellMar>
          <w:top w:w="0" w:type="dxa"/>
          <w:left w:w="108" w:type="dxa"/>
          <w:bottom w:w="0" w:type="dxa"/>
          <w:right w:w="108" w:type="dxa"/>
        </w:tblCellMar>
      </w:tblPr>
      <w:tblGrid>
        <w:gridCol w:w="2441"/>
        <w:gridCol w:w="7187"/>
      </w:tblGrid>
      <w:tr>
        <w:tblPrEx>
          <w:tblBorders>
            <w:top w:val="single" w:color="152C46" w:themeColor="text1" w:sz="4" w:space="0"/>
            <w:left w:val="none" w:color="auto" w:sz="0" w:space="0"/>
            <w:bottom w:val="single" w:color="152C46" w:themeColor="text1" w:sz="4" w:space="0"/>
            <w:right w:val="none" w:color="auto" w:sz="0" w:space="0"/>
            <w:insideH w:val="single" w:color="152C46" w:themeColor="text1" w:sz="4" w:space="0"/>
            <w:insideV w:val="none" w:color="auto" w:sz="0" w:space="0"/>
          </w:tblBorders>
          <w:tblCellMar>
            <w:top w:w="0" w:type="dxa"/>
            <w:left w:w="108" w:type="dxa"/>
            <w:bottom w:w="0" w:type="dxa"/>
            <w:right w:w="108" w:type="dxa"/>
          </w:tblCellMar>
        </w:tblPrEx>
        <w:trPr>
          <w:trHeight w:val="414" w:hRule="atLeast"/>
        </w:trPr>
        <w:tc>
          <w:tcPr>
            <w:tcW w:w="2441" w:type="dxa"/>
            <w:shd w:val="clear" w:color="auto" w:fill="152C46" w:themeFill="text1"/>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Classification</w:t>
            </w:r>
          </w:p>
        </w:tc>
        <w:tc>
          <w:tcPr>
            <w:tcW w:w="7187" w:type="dxa"/>
            <w:shd w:val="clear" w:color="auto" w:fill="152C46" w:themeFill="text1"/>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 xml:space="preserve">Description </w:t>
            </w:r>
          </w:p>
        </w:tc>
      </w:tr>
      <w:tr>
        <w:tblPrEx>
          <w:tblBorders>
            <w:top w:val="single" w:color="152C46" w:themeColor="text1" w:sz="4" w:space="0"/>
            <w:left w:val="none" w:color="auto" w:sz="0" w:space="0"/>
            <w:bottom w:val="single" w:color="152C46" w:themeColor="text1" w:sz="4" w:space="0"/>
            <w:right w:val="none" w:color="auto" w:sz="0" w:space="0"/>
            <w:insideH w:val="single" w:color="152C46" w:themeColor="text1" w:sz="4" w:space="0"/>
            <w:insideV w:val="none" w:color="auto" w:sz="0" w:space="0"/>
          </w:tblBorders>
          <w:tblCellMar>
            <w:top w:w="0" w:type="dxa"/>
            <w:left w:w="108" w:type="dxa"/>
            <w:bottom w:w="0" w:type="dxa"/>
            <w:right w:w="108" w:type="dxa"/>
          </w:tblCellMar>
        </w:tblPrEx>
        <w:tc>
          <w:tcPr>
            <w:tcW w:w="2441" w:type="dxa"/>
            <w:shd w:val="clear" w:color="auto" w:fill="F1F1F1" w:themeFill="background1" w:themeFillShade="F2"/>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Medical fees claim.</w:t>
            </w:r>
          </w:p>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(Blue) – Managed by Howden Care</w:t>
            </w:r>
          </w:p>
        </w:tc>
        <w:tc>
          <w:tcPr>
            <w:tcW w:w="7187" w:type="dxa"/>
            <w:shd w:val="clear" w:color="auto" w:fill="FFFFFF" w:themeFill="background1"/>
          </w:tcPr>
          <w:p>
            <w:pPr>
              <w:pStyle w:val="292"/>
              <w:spacing w:before="120" w:after="0"/>
              <w:ind w:left="420" w:hanging="431"/>
              <w:rPr>
                <w:rFonts w:asciiTheme="majorHAnsi" w:hAnsiTheme="majorHAnsi" w:cstheme="majorHAnsi"/>
              </w:rPr>
            </w:pPr>
            <w:r>
              <w:rPr>
                <w:rFonts w:asciiTheme="majorHAnsi" w:hAnsiTheme="majorHAnsi" w:cstheme="majorHAnsi"/>
              </w:rPr>
              <w:t>No time lost and</w:t>
            </w:r>
          </w:p>
          <w:p>
            <w:pPr>
              <w:pStyle w:val="292"/>
              <w:spacing w:after="0"/>
              <w:ind w:left="423"/>
              <w:rPr>
                <w:rFonts w:asciiTheme="majorHAnsi" w:hAnsiTheme="majorHAnsi" w:cstheme="majorHAnsi"/>
              </w:rPr>
            </w:pPr>
            <w:r>
              <w:rPr>
                <w:rFonts w:asciiTheme="majorHAnsi" w:hAnsiTheme="majorHAnsi" w:cstheme="majorHAnsi"/>
              </w:rPr>
              <w:t>No serious injury noted</w:t>
            </w:r>
          </w:p>
        </w:tc>
      </w:tr>
      <w:tr>
        <w:tblPrEx>
          <w:tblBorders>
            <w:top w:val="single" w:color="152C46" w:themeColor="text1" w:sz="4" w:space="0"/>
            <w:left w:val="none" w:color="auto" w:sz="0" w:space="0"/>
            <w:bottom w:val="single" w:color="152C46" w:themeColor="text1" w:sz="4" w:space="0"/>
            <w:right w:val="none" w:color="auto" w:sz="0" w:space="0"/>
            <w:insideH w:val="single" w:color="152C46" w:themeColor="text1" w:sz="4" w:space="0"/>
            <w:insideV w:val="none" w:color="auto" w:sz="0" w:space="0"/>
          </w:tblBorders>
          <w:tblCellMar>
            <w:top w:w="0" w:type="dxa"/>
            <w:left w:w="108" w:type="dxa"/>
            <w:bottom w:w="0" w:type="dxa"/>
            <w:right w:w="108" w:type="dxa"/>
          </w:tblCellMar>
        </w:tblPrEx>
        <w:tc>
          <w:tcPr>
            <w:tcW w:w="2441" w:type="dxa"/>
            <w:shd w:val="clear" w:color="auto" w:fill="F1F1F1" w:themeFill="background1" w:themeFillShade="F2"/>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Serious/complex</w:t>
            </w:r>
          </w:p>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(Amber/Red)</w:t>
            </w:r>
          </w:p>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Managed by University of Otago, OHN</w:t>
            </w:r>
          </w:p>
        </w:tc>
        <w:tc>
          <w:tcPr>
            <w:tcW w:w="7187" w:type="dxa"/>
            <w:shd w:val="clear" w:color="auto" w:fill="FFFFFF" w:themeFill="background1"/>
          </w:tcPr>
          <w:p>
            <w:pPr>
              <w:pStyle w:val="292"/>
              <w:spacing w:before="120" w:after="0"/>
              <w:ind w:left="420" w:hanging="431"/>
              <w:rPr>
                <w:rFonts w:asciiTheme="majorHAnsi" w:hAnsiTheme="majorHAnsi" w:cstheme="majorHAnsi"/>
              </w:rPr>
            </w:pPr>
            <w:r>
              <w:rPr>
                <w:rFonts w:asciiTheme="majorHAnsi" w:hAnsiTheme="majorHAnsi" w:cstheme="majorHAnsi"/>
              </w:rPr>
              <w:t xml:space="preserve">The Kaimahi-staff requires </w:t>
            </w:r>
            <w:r>
              <w:rPr>
                <w:rFonts w:asciiTheme="majorHAnsi" w:hAnsiTheme="majorHAnsi" w:cstheme="majorHAnsi"/>
                <w:b/>
                <w:bCs/>
              </w:rPr>
              <w:t>any</w:t>
            </w:r>
            <w:r>
              <w:rPr>
                <w:rFonts w:asciiTheme="majorHAnsi" w:hAnsiTheme="majorHAnsi" w:cstheme="majorHAnsi"/>
              </w:rPr>
              <w:t xml:space="preserve"> time off work and/or</w:t>
            </w:r>
          </w:p>
          <w:p>
            <w:pPr>
              <w:pStyle w:val="292"/>
              <w:spacing w:after="0"/>
              <w:ind w:left="423"/>
              <w:rPr>
                <w:rFonts w:asciiTheme="majorHAnsi" w:hAnsiTheme="majorHAnsi" w:cstheme="majorHAnsi"/>
              </w:rPr>
            </w:pPr>
            <w:r>
              <w:rPr>
                <w:rFonts w:asciiTheme="majorHAnsi" w:hAnsiTheme="majorHAnsi" w:cstheme="majorHAnsi"/>
              </w:rPr>
              <w:t>The diagnosis is a serious injury and/or</w:t>
            </w:r>
          </w:p>
          <w:p>
            <w:pPr>
              <w:pStyle w:val="292"/>
              <w:spacing w:after="0"/>
              <w:ind w:left="423"/>
              <w:rPr>
                <w:rFonts w:asciiTheme="majorHAnsi" w:hAnsiTheme="majorHAnsi" w:cstheme="majorHAnsi"/>
              </w:rPr>
            </w:pPr>
            <w:r>
              <w:rPr>
                <w:rFonts w:asciiTheme="majorHAnsi" w:hAnsiTheme="majorHAnsi" w:cstheme="majorHAnsi"/>
              </w:rPr>
              <w:t>Management of the claim could be complex or extended.</w:t>
            </w:r>
          </w:p>
          <w:p>
            <w:pPr>
              <w:pStyle w:val="292"/>
              <w:spacing w:after="0"/>
              <w:ind w:left="423"/>
              <w:rPr>
                <w:rFonts w:asciiTheme="majorHAnsi" w:hAnsiTheme="majorHAnsi" w:cstheme="majorHAnsi"/>
              </w:rPr>
            </w:pPr>
            <w:r>
              <w:rPr>
                <w:rFonts w:asciiTheme="majorHAnsi" w:hAnsiTheme="majorHAnsi" w:cstheme="majorHAnsi"/>
              </w:rPr>
              <w:t>Work related gradual process, disease or infection claims (WRGPDI) with or without lost time</w:t>
            </w:r>
          </w:p>
          <w:p>
            <w:pPr>
              <w:pStyle w:val="292"/>
              <w:spacing w:after="0"/>
              <w:ind w:left="423"/>
              <w:rPr>
                <w:rFonts w:asciiTheme="majorHAnsi" w:hAnsiTheme="majorHAnsi" w:cstheme="majorHAnsi"/>
              </w:rPr>
            </w:pPr>
            <w:r>
              <w:rPr>
                <w:rFonts w:asciiTheme="majorHAnsi" w:hAnsiTheme="majorHAnsi" w:cstheme="majorHAnsi"/>
              </w:rPr>
              <w:t>Other risk factors have been identified</w:t>
            </w:r>
          </w:p>
        </w:tc>
      </w:tr>
    </w:tbl>
    <w:p>
      <w:pPr>
        <w:spacing w:line="240" w:lineRule="auto"/>
        <w:contextualSpacing/>
        <w:rPr>
          <w:rFonts w:asciiTheme="majorHAnsi" w:hAnsiTheme="majorHAnsi" w:cstheme="majorHAnsi"/>
          <w:sz w:val="22"/>
          <w:szCs w:val="22"/>
        </w:rPr>
      </w:pPr>
    </w:p>
    <w:p>
      <w:pPr>
        <w:pStyle w:val="7"/>
        <w:rPr>
          <w:rFonts w:cstheme="majorHAnsi"/>
        </w:rPr>
      </w:pPr>
      <w:bookmarkStart w:id="150" w:name="_Toc2135085594"/>
      <w:bookmarkStart w:id="151" w:name="_Toc1960464675"/>
      <w:bookmarkStart w:id="152" w:name="_Toc90388347"/>
      <w:bookmarkStart w:id="153" w:name="_Toc90394252"/>
      <w:bookmarkStart w:id="154" w:name="_Toc1604533526"/>
      <w:bookmarkStart w:id="155" w:name="_Toc101532331"/>
      <w:bookmarkStart w:id="156" w:name="_Toc2029962498"/>
      <w:bookmarkStart w:id="157" w:name="_Toc101453864"/>
      <w:r>
        <w:rPr>
          <w:rFonts w:cstheme="majorHAnsi"/>
        </w:rPr>
        <w:t>6.2</w:t>
      </w:r>
      <w:r>
        <w:rPr>
          <w:rFonts w:cstheme="majorHAnsi"/>
        </w:rPr>
        <w:tab/>
      </w:r>
      <w:r>
        <w:rPr>
          <w:rFonts w:cstheme="majorHAnsi"/>
        </w:rPr>
        <w:t>Initial needs assessment</w:t>
      </w:r>
      <w:bookmarkEnd w:id="150"/>
      <w:bookmarkEnd w:id="151"/>
      <w:bookmarkEnd w:id="152"/>
      <w:bookmarkEnd w:id="153"/>
      <w:bookmarkEnd w:id="154"/>
      <w:bookmarkEnd w:id="155"/>
      <w:bookmarkEnd w:id="156"/>
      <w:bookmarkEnd w:id="157"/>
    </w:p>
    <w:p>
      <w:pPr>
        <w:pStyle w:val="5"/>
        <w:rPr>
          <w:rFonts w:asciiTheme="majorHAnsi" w:hAnsiTheme="majorHAnsi" w:cstheme="majorHAnsi"/>
        </w:rPr>
      </w:pPr>
      <w:r>
        <w:rPr>
          <w:rFonts w:asciiTheme="majorHAnsi" w:hAnsiTheme="majorHAnsi" w:cstheme="majorHAnsi"/>
        </w:rPr>
        <w:t xml:space="preserve">For all claims with lost time Howden Care or the OHN will contact the Kaimahi-staff by phone within two working days to: </w:t>
      </w:r>
    </w:p>
    <w:p>
      <w:pPr>
        <w:pStyle w:val="292"/>
        <w:rPr>
          <w:rFonts w:asciiTheme="majorHAnsi" w:hAnsiTheme="majorHAnsi" w:cstheme="majorHAnsi"/>
        </w:rPr>
      </w:pPr>
      <w:r>
        <w:rPr>
          <w:rFonts w:asciiTheme="majorHAnsi" w:hAnsiTheme="majorHAnsi" w:cstheme="majorHAnsi"/>
        </w:rPr>
        <w:t>Carry out an initial needs assessment</w:t>
      </w:r>
    </w:p>
    <w:p>
      <w:pPr>
        <w:pStyle w:val="292"/>
        <w:rPr>
          <w:rFonts w:asciiTheme="majorHAnsi" w:hAnsiTheme="majorHAnsi" w:cstheme="majorHAnsi"/>
        </w:rPr>
      </w:pPr>
      <w:r>
        <w:rPr>
          <w:rFonts w:asciiTheme="majorHAnsi" w:hAnsiTheme="majorHAnsi" w:cstheme="majorHAnsi"/>
        </w:rPr>
        <w:t>Discuss entitlements and rehabilitation support</w:t>
      </w:r>
    </w:p>
    <w:p>
      <w:pPr>
        <w:pStyle w:val="292"/>
        <w:rPr>
          <w:rFonts w:asciiTheme="majorHAnsi" w:hAnsiTheme="majorHAnsi" w:cstheme="majorHAnsi"/>
        </w:rPr>
      </w:pPr>
      <w:r>
        <w:rPr>
          <w:rFonts w:asciiTheme="majorHAnsi" w:hAnsiTheme="majorHAnsi" w:cstheme="majorHAnsi"/>
        </w:rPr>
        <w:t>Discuss the claims process</w:t>
      </w:r>
    </w:p>
    <w:p>
      <w:pPr>
        <w:pStyle w:val="292"/>
        <w:rPr>
          <w:rFonts w:asciiTheme="majorHAnsi" w:hAnsiTheme="majorHAnsi" w:cstheme="majorHAnsi"/>
        </w:rPr>
      </w:pPr>
      <w:r>
        <w:rPr>
          <w:rFonts w:asciiTheme="majorHAnsi" w:hAnsiTheme="majorHAnsi" w:cstheme="majorHAnsi"/>
        </w:rPr>
        <w:t>Discuss whether the Kaimahi-staff can return to work in some capacity, depending on medical advice</w:t>
      </w:r>
    </w:p>
    <w:p>
      <w:pPr>
        <w:pStyle w:val="5"/>
        <w:rPr>
          <w:rFonts w:asciiTheme="majorHAnsi" w:hAnsiTheme="majorHAnsi" w:cstheme="majorHAnsi"/>
          <w:lang w:eastAsia="en-GB"/>
        </w:rPr>
      </w:pPr>
      <w:r>
        <w:rPr>
          <w:rFonts w:asciiTheme="majorHAnsi" w:hAnsiTheme="majorHAnsi" w:cstheme="majorHAnsi"/>
          <w:lang w:eastAsia="en-GB"/>
        </w:rPr>
        <w:t xml:space="preserve">If contact cannot be made then Howden Care will discuss with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 xml:space="preserve">the best way to contact them and use a variety of methods available to contact, such as letter/email/text. </w:t>
      </w:r>
    </w:p>
    <w:p>
      <w:pPr>
        <w:pStyle w:val="7"/>
        <w:rPr>
          <w:rFonts w:cstheme="majorHAnsi"/>
        </w:rPr>
      </w:pPr>
      <w:bookmarkStart w:id="158" w:name="_Toc90394253"/>
      <w:bookmarkStart w:id="159" w:name="_Toc101453865"/>
      <w:bookmarkStart w:id="160" w:name="_Toc1471839440"/>
      <w:bookmarkStart w:id="161" w:name="_Toc101532332"/>
      <w:bookmarkStart w:id="162" w:name="_Toc1161127649"/>
      <w:bookmarkStart w:id="163" w:name="_Toc90388348"/>
      <w:bookmarkStart w:id="164" w:name="_Toc902807719"/>
      <w:bookmarkStart w:id="165" w:name="_Toc1273622468"/>
      <w:r>
        <w:rPr>
          <w:rFonts w:cstheme="majorHAnsi"/>
        </w:rPr>
        <w:t>6.3</w:t>
      </w:r>
      <w:r>
        <w:rPr>
          <w:rFonts w:cstheme="majorHAnsi"/>
        </w:rPr>
        <w:tab/>
      </w:r>
      <w:r>
        <w:rPr>
          <w:rFonts w:cstheme="majorHAnsi"/>
        </w:rPr>
        <w:t>Action plans</w:t>
      </w:r>
      <w:bookmarkEnd w:id="158"/>
      <w:bookmarkEnd w:id="159"/>
      <w:bookmarkEnd w:id="160"/>
      <w:bookmarkEnd w:id="161"/>
      <w:bookmarkEnd w:id="162"/>
      <w:bookmarkEnd w:id="163"/>
      <w:bookmarkEnd w:id="164"/>
      <w:bookmarkEnd w:id="165"/>
    </w:p>
    <w:p>
      <w:pPr>
        <w:pStyle w:val="5"/>
        <w:rPr>
          <w:rFonts w:asciiTheme="majorHAnsi" w:hAnsiTheme="majorHAnsi" w:cstheme="majorBidi"/>
        </w:rPr>
      </w:pPr>
      <w:r>
        <w:rPr>
          <w:rFonts w:asciiTheme="majorHAnsi" w:hAnsiTheme="majorHAnsi" w:cstheme="majorBidi"/>
        </w:rPr>
        <w:t xml:space="preserve">An Action Plan will be developed within seven days of notification for all claims with lost time off work or work restrictions. The Action Plan documents the actions and timeframes required by the case owner, the employer and the injured employee. Ideally this is done following the Initial Needs Assessment however if contact cannot be made within seven days, then the plan will be developed and updated as needed. </w:t>
      </w:r>
    </w:p>
    <w:p>
      <w:pPr>
        <w:pStyle w:val="5"/>
        <w:rPr>
          <w:rFonts w:asciiTheme="majorHAnsi" w:hAnsiTheme="majorHAnsi" w:cstheme="majorHAnsi"/>
        </w:rPr>
      </w:pPr>
      <w:r>
        <w:rPr>
          <w:rFonts w:asciiTheme="majorHAnsi" w:hAnsiTheme="majorHAnsi" w:cstheme="majorHAnsi"/>
        </w:rPr>
        <w:t xml:space="preserve">While cover is pending and there continues to be incapacity the Action Plan is updated every 14 days. The Action Plan documents the actions and timeframes required of the case owner, the employer and the injured employee. </w:t>
      </w:r>
    </w:p>
    <w:p>
      <w:pPr>
        <w:pStyle w:val="7"/>
        <w:rPr>
          <w:rFonts w:cstheme="majorHAnsi"/>
        </w:rPr>
      </w:pPr>
      <w:bookmarkStart w:id="166" w:name="_Toc1039001731"/>
      <w:bookmarkStart w:id="167" w:name="_Toc90394254"/>
      <w:bookmarkStart w:id="168" w:name="_Toc794746723"/>
      <w:bookmarkStart w:id="169" w:name="_Toc101453866"/>
      <w:bookmarkStart w:id="170" w:name="_Toc678252108"/>
      <w:bookmarkStart w:id="171" w:name="_Toc90388349"/>
      <w:bookmarkStart w:id="172" w:name="_Toc198906300"/>
      <w:bookmarkStart w:id="173" w:name="_Toc101532333"/>
      <w:r>
        <w:rPr>
          <w:rFonts w:cstheme="majorHAnsi"/>
        </w:rPr>
        <w:t>6.4</w:t>
      </w:r>
      <w:r>
        <w:rPr>
          <w:rFonts w:cstheme="majorHAnsi"/>
        </w:rPr>
        <w:tab/>
      </w:r>
      <w:r>
        <w:rPr>
          <w:rFonts w:cstheme="majorHAnsi"/>
        </w:rPr>
        <w:t>Referrals for assessment and/or treatment</w:t>
      </w:r>
      <w:bookmarkEnd w:id="166"/>
      <w:bookmarkEnd w:id="167"/>
      <w:bookmarkEnd w:id="168"/>
      <w:bookmarkEnd w:id="169"/>
      <w:bookmarkEnd w:id="170"/>
      <w:bookmarkEnd w:id="171"/>
      <w:bookmarkEnd w:id="172"/>
      <w:bookmarkEnd w:id="173"/>
    </w:p>
    <w:p>
      <w:pPr>
        <w:pStyle w:val="5"/>
        <w:rPr>
          <w:rFonts w:asciiTheme="majorHAnsi" w:hAnsiTheme="majorHAnsi" w:cstheme="majorHAnsi"/>
        </w:rPr>
      </w:pPr>
      <w:r>
        <w:rPr>
          <w:rFonts w:asciiTheme="majorHAnsi" w:hAnsiTheme="majorHAnsi" w:cstheme="majorHAnsi"/>
        </w:rPr>
        <w:t>Depending on the needs identified the University of Otago OHN will refer the Kaimahi-staff for appropriate assessment and treatment. This may include medical treatment or assessment, weekly compensation, social or vocational rehabilitation assessments.</w:t>
      </w:r>
    </w:p>
    <w:p>
      <w:pPr>
        <w:pStyle w:val="7"/>
        <w:rPr>
          <w:rFonts w:cstheme="majorHAnsi"/>
        </w:rPr>
      </w:pPr>
      <w:bookmarkStart w:id="174" w:name="_Toc510839537"/>
      <w:bookmarkStart w:id="175" w:name="_Toc1550825825"/>
      <w:bookmarkStart w:id="176" w:name="_Toc503502787"/>
      <w:bookmarkStart w:id="177" w:name="_Toc101453867"/>
      <w:bookmarkStart w:id="178" w:name="_Toc101532334"/>
      <w:bookmarkStart w:id="179" w:name="_Toc90388350"/>
      <w:bookmarkStart w:id="180" w:name="_Toc90394255"/>
      <w:bookmarkStart w:id="181" w:name="_Toc1182544057"/>
      <w:r>
        <w:rPr>
          <w:rFonts w:cstheme="majorHAnsi"/>
        </w:rPr>
        <w:t>6.5</w:t>
      </w:r>
      <w:r>
        <w:rPr>
          <w:rFonts w:cstheme="majorHAnsi"/>
        </w:rPr>
        <w:tab/>
      </w:r>
      <w:r>
        <w:rPr>
          <w:rFonts w:cstheme="majorHAnsi"/>
        </w:rPr>
        <w:t>Privacy and Consent</w:t>
      </w:r>
      <w:bookmarkEnd w:id="174"/>
      <w:bookmarkEnd w:id="175"/>
      <w:bookmarkEnd w:id="176"/>
      <w:bookmarkEnd w:id="177"/>
      <w:bookmarkEnd w:id="178"/>
      <w:bookmarkEnd w:id="179"/>
      <w:bookmarkEnd w:id="180"/>
      <w:bookmarkEnd w:id="181"/>
    </w:p>
    <w:p>
      <w:pPr>
        <w:pStyle w:val="8"/>
        <w:rPr>
          <w:rFonts w:cstheme="majorHAnsi"/>
        </w:rPr>
      </w:pPr>
      <w:bookmarkStart w:id="182" w:name="_Health_information_privacy"/>
      <w:bookmarkEnd w:id="182"/>
      <w:bookmarkStart w:id="183" w:name="_Toc90388351"/>
      <w:bookmarkStart w:id="184" w:name="_Toc1854042176"/>
      <w:bookmarkStart w:id="185" w:name="_Toc706681514"/>
      <w:bookmarkStart w:id="186" w:name="_Toc905809972"/>
      <w:bookmarkStart w:id="187" w:name="_Toc101453868"/>
      <w:bookmarkStart w:id="188" w:name="_Toc101532335"/>
      <w:bookmarkStart w:id="189" w:name="_Toc368886786"/>
      <w:bookmarkStart w:id="190" w:name="_Toc90394256"/>
      <w:r>
        <w:rPr>
          <w:rFonts w:cstheme="majorHAnsi"/>
        </w:rPr>
        <w:t>6.5.1</w:t>
      </w:r>
      <w:r>
        <w:rPr>
          <w:rFonts w:cstheme="majorHAnsi"/>
        </w:rPr>
        <w:tab/>
      </w:r>
      <w:r>
        <w:rPr>
          <w:rFonts w:cstheme="majorHAnsi"/>
        </w:rPr>
        <w:t>Privacy Act 2020 and Health Information Privacy Code 2020</w:t>
      </w:r>
      <w:bookmarkEnd w:id="183"/>
      <w:bookmarkEnd w:id="184"/>
      <w:bookmarkEnd w:id="185"/>
      <w:bookmarkEnd w:id="186"/>
      <w:bookmarkEnd w:id="187"/>
      <w:bookmarkEnd w:id="188"/>
      <w:bookmarkEnd w:id="189"/>
      <w:bookmarkEnd w:id="190"/>
    </w:p>
    <w:p>
      <w:pPr>
        <w:pStyle w:val="5"/>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Howden Care adhere to the thirteen principles of the Privacy Act 2020 and Health Information Privacy Code 2020. The principles can be summarised as follows: </w:t>
      </w:r>
    </w:p>
    <w:p>
      <w:pPr>
        <w:pStyle w:val="5"/>
        <w:numPr>
          <w:ilvl w:val="0"/>
          <w:numId w:val="14"/>
        </w:numPr>
        <w:rPr>
          <w:rFonts w:asciiTheme="majorHAnsi" w:hAnsiTheme="majorHAnsi" w:cstheme="majorHAnsi"/>
        </w:rPr>
      </w:pPr>
      <w:r>
        <w:rPr>
          <w:rFonts w:asciiTheme="majorHAnsi" w:hAnsiTheme="majorHAnsi" w:cstheme="majorHAnsi"/>
        </w:rPr>
        <w:t xml:space="preserve">Only collect health information if you really need it. </w:t>
      </w:r>
    </w:p>
    <w:p>
      <w:pPr>
        <w:pStyle w:val="5"/>
        <w:numPr>
          <w:ilvl w:val="0"/>
          <w:numId w:val="14"/>
        </w:numPr>
        <w:rPr>
          <w:rFonts w:asciiTheme="majorHAnsi" w:hAnsiTheme="majorHAnsi" w:cstheme="majorHAnsi"/>
        </w:rPr>
      </w:pPr>
      <w:r>
        <w:rPr>
          <w:rFonts w:asciiTheme="majorHAnsi" w:hAnsiTheme="majorHAnsi" w:cstheme="majorHAnsi"/>
        </w:rPr>
        <w:t xml:space="preserve">Get it straight from the people concerned. </w:t>
      </w:r>
    </w:p>
    <w:p>
      <w:pPr>
        <w:pStyle w:val="5"/>
        <w:numPr>
          <w:ilvl w:val="0"/>
          <w:numId w:val="14"/>
        </w:numPr>
        <w:rPr>
          <w:rFonts w:asciiTheme="majorHAnsi" w:hAnsiTheme="majorHAnsi" w:cstheme="majorHAnsi"/>
        </w:rPr>
      </w:pPr>
      <w:r>
        <w:rPr>
          <w:rFonts w:asciiTheme="majorHAnsi" w:hAnsiTheme="majorHAnsi" w:cstheme="majorHAnsi"/>
        </w:rPr>
        <w:t xml:space="preserve">Tell them what you’re going to do with it. </w:t>
      </w:r>
    </w:p>
    <w:p>
      <w:pPr>
        <w:pStyle w:val="5"/>
        <w:numPr>
          <w:ilvl w:val="0"/>
          <w:numId w:val="14"/>
        </w:numPr>
        <w:rPr>
          <w:rFonts w:asciiTheme="majorHAnsi" w:hAnsiTheme="majorHAnsi" w:cstheme="majorHAnsi"/>
        </w:rPr>
      </w:pPr>
      <w:r>
        <w:rPr>
          <w:rFonts w:asciiTheme="majorHAnsi" w:hAnsiTheme="majorHAnsi" w:cstheme="majorHAnsi"/>
        </w:rPr>
        <w:t xml:space="preserve">Be considerate when you’re getting it. </w:t>
      </w:r>
    </w:p>
    <w:p>
      <w:pPr>
        <w:pStyle w:val="5"/>
        <w:numPr>
          <w:ilvl w:val="0"/>
          <w:numId w:val="14"/>
        </w:numPr>
        <w:rPr>
          <w:rFonts w:asciiTheme="majorHAnsi" w:hAnsiTheme="majorHAnsi" w:cstheme="majorHAnsi"/>
        </w:rPr>
      </w:pPr>
      <w:r>
        <w:rPr>
          <w:rFonts w:asciiTheme="majorHAnsi" w:hAnsiTheme="majorHAnsi" w:cstheme="majorHAnsi"/>
        </w:rPr>
        <w:t xml:space="preserve">Take care of it once you’ve got it. </w:t>
      </w:r>
    </w:p>
    <w:p>
      <w:pPr>
        <w:pStyle w:val="5"/>
        <w:numPr>
          <w:ilvl w:val="0"/>
          <w:numId w:val="14"/>
        </w:numPr>
        <w:rPr>
          <w:rFonts w:asciiTheme="majorHAnsi" w:hAnsiTheme="majorHAnsi" w:cstheme="majorHAnsi"/>
        </w:rPr>
      </w:pPr>
      <w:r>
        <w:rPr>
          <w:rFonts w:asciiTheme="majorHAnsi" w:hAnsiTheme="majorHAnsi" w:cstheme="majorHAnsi"/>
        </w:rPr>
        <w:t xml:space="preserve">People can see their health information if they want to. </w:t>
      </w:r>
    </w:p>
    <w:p>
      <w:pPr>
        <w:pStyle w:val="5"/>
        <w:numPr>
          <w:ilvl w:val="0"/>
          <w:numId w:val="14"/>
        </w:numPr>
        <w:rPr>
          <w:rFonts w:asciiTheme="majorHAnsi" w:hAnsiTheme="majorHAnsi" w:cstheme="majorHAnsi"/>
        </w:rPr>
      </w:pPr>
      <w:r>
        <w:rPr>
          <w:rFonts w:asciiTheme="majorHAnsi" w:hAnsiTheme="majorHAnsi" w:cstheme="majorHAnsi"/>
        </w:rPr>
        <w:t xml:space="preserve">They can correct it if it’s wrong. </w:t>
      </w:r>
    </w:p>
    <w:p>
      <w:pPr>
        <w:pStyle w:val="5"/>
        <w:numPr>
          <w:ilvl w:val="0"/>
          <w:numId w:val="14"/>
        </w:numPr>
        <w:rPr>
          <w:rFonts w:asciiTheme="majorHAnsi" w:hAnsiTheme="majorHAnsi" w:cstheme="majorHAnsi"/>
        </w:rPr>
      </w:pPr>
      <w:r>
        <w:rPr>
          <w:rFonts w:asciiTheme="majorHAnsi" w:hAnsiTheme="majorHAnsi" w:cstheme="majorHAnsi"/>
        </w:rPr>
        <w:t xml:space="preserve">Make sure health information is correct before you use it. </w:t>
      </w:r>
    </w:p>
    <w:p>
      <w:pPr>
        <w:pStyle w:val="5"/>
        <w:numPr>
          <w:ilvl w:val="0"/>
          <w:numId w:val="14"/>
        </w:numPr>
        <w:rPr>
          <w:rFonts w:asciiTheme="majorHAnsi" w:hAnsiTheme="majorHAnsi" w:cstheme="majorHAnsi"/>
        </w:rPr>
      </w:pPr>
      <w:r>
        <w:rPr>
          <w:rFonts w:asciiTheme="majorHAnsi" w:hAnsiTheme="majorHAnsi" w:cstheme="majorHAnsi"/>
        </w:rPr>
        <w:t xml:space="preserve">Get rid of it when you’re done with it. </w:t>
      </w:r>
    </w:p>
    <w:p>
      <w:pPr>
        <w:pStyle w:val="5"/>
        <w:numPr>
          <w:ilvl w:val="0"/>
          <w:numId w:val="14"/>
        </w:numPr>
        <w:rPr>
          <w:rFonts w:asciiTheme="majorHAnsi" w:hAnsiTheme="majorHAnsi" w:cstheme="majorHAnsi"/>
        </w:rPr>
      </w:pPr>
      <w:r>
        <w:rPr>
          <w:rFonts w:asciiTheme="majorHAnsi" w:hAnsiTheme="majorHAnsi" w:cstheme="majorHAnsi"/>
        </w:rPr>
        <w:t xml:space="preserve">Use it for the purpose you got it. </w:t>
      </w:r>
    </w:p>
    <w:p>
      <w:pPr>
        <w:pStyle w:val="5"/>
        <w:numPr>
          <w:ilvl w:val="0"/>
          <w:numId w:val="14"/>
        </w:numPr>
        <w:rPr>
          <w:rFonts w:asciiTheme="majorHAnsi" w:hAnsiTheme="majorHAnsi" w:cstheme="majorHAnsi"/>
        </w:rPr>
      </w:pPr>
      <w:r>
        <w:rPr>
          <w:rFonts w:asciiTheme="majorHAnsi" w:hAnsiTheme="majorHAnsi" w:cstheme="majorHAnsi"/>
        </w:rPr>
        <w:t>Only disclose it if you have a good reason.</w:t>
      </w:r>
    </w:p>
    <w:p>
      <w:pPr>
        <w:pStyle w:val="5"/>
        <w:numPr>
          <w:ilvl w:val="0"/>
          <w:numId w:val="14"/>
        </w:numPr>
        <w:rPr>
          <w:rFonts w:asciiTheme="majorHAnsi" w:hAnsiTheme="majorHAnsi" w:cstheme="majorHAnsi"/>
        </w:rPr>
      </w:pPr>
      <w:r>
        <w:rPr>
          <w:rFonts w:asciiTheme="majorHAnsi" w:hAnsiTheme="majorHAnsi" w:cstheme="majorHAnsi"/>
        </w:rPr>
        <w:t>Only disclose outside of New Zealand if the receiving organisation is subject to the Privacy Act, will protect the information or have comparable privacy laws to the Privacy Act.</w:t>
      </w:r>
    </w:p>
    <w:p>
      <w:pPr>
        <w:pStyle w:val="5"/>
        <w:numPr>
          <w:ilvl w:val="0"/>
          <w:numId w:val="14"/>
        </w:numPr>
        <w:rPr>
          <w:rFonts w:asciiTheme="majorHAnsi" w:hAnsiTheme="majorHAnsi" w:cstheme="majorHAnsi"/>
        </w:rPr>
      </w:pPr>
      <w:r>
        <w:rPr>
          <w:rFonts w:asciiTheme="majorHAnsi" w:hAnsiTheme="majorHAnsi" w:cstheme="majorHAnsi"/>
        </w:rPr>
        <w:t>Only assign unique identifiers (e.g. claim number) where permitted.</w:t>
      </w:r>
    </w:p>
    <w:p>
      <w:pPr>
        <w:pStyle w:val="8"/>
        <w:rPr>
          <w:rFonts w:cstheme="majorHAnsi"/>
        </w:rPr>
      </w:pPr>
      <w:bookmarkStart w:id="191" w:name="_Toc90388352"/>
      <w:bookmarkStart w:id="192" w:name="_Toc101532336"/>
      <w:bookmarkStart w:id="193" w:name="_Toc101453869"/>
      <w:bookmarkStart w:id="194" w:name="_Toc90394257"/>
      <w:bookmarkStart w:id="195" w:name="_Toc931045934"/>
      <w:bookmarkStart w:id="196" w:name="_Toc1405732329"/>
      <w:bookmarkStart w:id="197" w:name="_Toc647920379"/>
      <w:bookmarkStart w:id="198" w:name="_Toc569640009"/>
      <w:r>
        <w:rPr>
          <w:rFonts w:cstheme="majorHAnsi"/>
        </w:rPr>
        <w:t>6.5.2</w:t>
      </w:r>
      <w:r>
        <w:rPr>
          <w:rFonts w:cstheme="majorHAnsi"/>
        </w:rPr>
        <w:tab/>
      </w:r>
      <w:r>
        <w:rPr>
          <w:rFonts w:cstheme="majorHAnsi"/>
        </w:rPr>
        <w:t>Privacy</w:t>
      </w:r>
      <w:bookmarkEnd w:id="191"/>
      <w:bookmarkEnd w:id="192"/>
      <w:bookmarkEnd w:id="193"/>
      <w:bookmarkEnd w:id="194"/>
      <w:r>
        <w:rPr>
          <w:rFonts w:cstheme="majorHAnsi"/>
        </w:rPr>
        <w:t xml:space="preserve"> </w:t>
      </w:r>
      <w:bookmarkEnd w:id="195"/>
      <w:bookmarkEnd w:id="196"/>
      <w:bookmarkEnd w:id="197"/>
      <w:bookmarkEnd w:id="198"/>
    </w:p>
    <w:p>
      <w:pPr>
        <w:pStyle w:val="9"/>
        <w:rPr>
          <w:rFonts w:cstheme="majorHAnsi"/>
        </w:rPr>
      </w:pPr>
      <w:bookmarkStart w:id="199" w:name="_Toc99110844"/>
      <w:r>
        <w:rPr>
          <w:rFonts w:cstheme="majorHAnsi"/>
        </w:rPr>
        <w:t>Collection</w:t>
      </w:r>
      <w:bookmarkEnd w:id="199"/>
    </w:p>
    <w:p>
      <w:pPr>
        <w:pStyle w:val="5"/>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Howden Care collects personal and health information required for the management of the claim. We collect the information necessary to carry out our functions and responsibilities. This means we will only collect information that we require to determine appropriate treatment, entitlements or needs in relation to a claim. </w:t>
      </w:r>
    </w:p>
    <w:p>
      <w:pPr>
        <w:pStyle w:val="9"/>
        <w:rPr>
          <w:rFonts w:cstheme="majorHAnsi"/>
        </w:rPr>
      </w:pPr>
      <w:bookmarkStart w:id="200" w:name="_Toc99110845"/>
      <w:r>
        <w:rPr>
          <w:rFonts w:cstheme="majorHAnsi"/>
        </w:rPr>
        <w:t>Access</w:t>
      </w:r>
      <w:bookmarkEnd w:id="200"/>
    </w:p>
    <w:p>
      <w:pPr>
        <w:pStyle w:val="5"/>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Howden Care will facilitate access to personal and health information. We commit to providing employees with access to their personal and health information, unless an exception under legislation applies. </w:t>
      </w:r>
    </w:p>
    <w:p>
      <w:pPr>
        <w:pStyle w:val="9"/>
        <w:rPr>
          <w:rFonts w:cstheme="majorHAnsi"/>
        </w:rPr>
      </w:pPr>
      <w:bookmarkStart w:id="201" w:name="_Toc99110846"/>
      <w:r>
        <w:rPr>
          <w:rFonts w:cstheme="majorHAnsi"/>
        </w:rPr>
        <w:t>Correction</w:t>
      </w:r>
      <w:bookmarkEnd w:id="201"/>
    </w:p>
    <w:p>
      <w:pPr>
        <w:pStyle w:val="5"/>
        <w:rPr>
          <w:rFonts w:asciiTheme="majorHAnsi" w:hAnsiTheme="majorHAnsi" w:cstheme="majorHAnsi"/>
        </w:rPr>
      </w:pPr>
      <w:r>
        <w:rPr>
          <w:rFonts w:asciiTheme="majorHAnsi" w:hAnsiTheme="majorHAnsi" w:cstheme="majorHAnsi"/>
        </w:rPr>
        <w:t xml:space="preserve">Under the Privacy Act, individuals have a right to seek amendment to factually incorrect information. Howden Care will facilitate such requests to consider correction or addendum to information if it is unable to be changed. </w:t>
      </w:r>
    </w:p>
    <w:p>
      <w:pPr>
        <w:pStyle w:val="9"/>
        <w:rPr>
          <w:rFonts w:cstheme="majorHAnsi"/>
        </w:rPr>
      </w:pPr>
      <w:bookmarkStart w:id="202" w:name="_Toc99110847"/>
      <w:r>
        <w:rPr>
          <w:rFonts w:cstheme="majorHAnsi"/>
        </w:rPr>
        <w:t>Use and disclosure</w:t>
      </w:r>
      <w:bookmarkEnd w:id="202"/>
    </w:p>
    <w:p>
      <w:pPr>
        <w:pStyle w:val="5"/>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Howden Care will use information to assess entitlements, rehabilitation and medical treatment. Information is disclosed for the purposes of why it was obtained. Privacy checks are undertaken on files to ensure only individual claim related information is held. These checks will be undertaken at hand back, referrals to specialists, file request by the injured employee, at review or when the file is being released externally. </w:t>
      </w:r>
    </w:p>
    <w:p>
      <w:pPr>
        <w:pStyle w:val="9"/>
        <w:rPr>
          <w:rFonts w:cstheme="majorHAnsi"/>
        </w:rPr>
      </w:pPr>
      <w:bookmarkStart w:id="203" w:name="_Toc99110848"/>
      <w:r>
        <w:rPr>
          <w:rFonts w:cstheme="majorHAnsi"/>
        </w:rPr>
        <w:t>Storage</w:t>
      </w:r>
      <w:bookmarkEnd w:id="203"/>
    </w:p>
    <w:p>
      <w:pPr>
        <w:pStyle w:val="5"/>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and Howden Care will ensure information is stored with security against disclosure. This includes electronic protection with systems and technology and also security around physical handling of information.</w:t>
      </w:r>
    </w:p>
    <w:p>
      <w:pPr>
        <w:pStyle w:val="9"/>
        <w:rPr>
          <w:rFonts w:cstheme="majorHAnsi"/>
        </w:rPr>
      </w:pPr>
      <w:bookmarkStart w:id="204" w:name="_Toc99110849"/>
      <w:r>
        <w:rPr>
          <w:rFonts w:cstheme="majorHAnsi"/>
        </w:rPr>
        <w:t>Privacy risk and breach</w:t>
      </w:r>
      <w:bookmarkEnd w:id="204"/>
    </w:p>
    <w:p>
      <w:pPr>
        <w:pStyle w:val="5"/>
        <w:rPr>
          <w:rFonts w:asciiTheme="majorHAnsi" w:hAnsiTheme="majorHAnsi" w:cstheme="majorHAnsi"/>
          <w:highlight w:val="yellow"/>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Howden Care follow a specific privacy risk process, which is initiated immediately upon identification of a potential risk or privacy breach. The aim is to act with priority to ensure we either prevent the risk becoming a breach, contain a breach or minimise the impact if a breach does occur. In the event of a privacy breach, Howden Care Quality Manager provides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with details of the breach.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will provide the breach information to their ACC Compliance Advisor within 5 working days of the following month. If serious harm results from the breach the Quality Manager will notify the Privacy Commission within 72 hours of the breach being identified as notifiable. </w:t>
      </w:r>
    </w:p>
    <w:p>
      <w:pPr>
        <w:pStyle w:val="8"/>
        <w:rPr>
          <w:rFonts w:cstheme="majorHAnsi"/>
        </w:rPr>
      </w:pPr>
      <w:bookmarkStart w:id="205" w:name="_Toc101453870"/>
      <w:bookmarkStart w:id="206" w:name="_Toc101532337"/>
      <w:bookmarkStart w:id="207" w:name="_Toc90388353"/>
      <w:bookmarkStart w:id="208" w:name="_Toc90394258"/>
      <w:bookmarkStart w:id="209" w:name="_Toc883316110"/>
      <w:bookmarkStart w:id="210" w:name="_Toc803280373"/>
      <w:bookmarkStart w:id="211" w:name="_Toc354136762"/>
      <w:bookmarkStart w:id="212" w:name="_Toc1444368328"/>
      <w:r>
        <w:rPr>
          <w:rFonts w:cstheme="majorHAnsi"/>
        </w:rPr>
        <w:t>6.5.3</w:t>
      </w:r>
      <w:r>
        <w:rPr>
          <w:rFonts w:cstheme="majorHAnsi"/>
        </w:rPr>
        <w:tab/>
      </w:r>
      <w:r>
        <w:rPr>
          <w:rFonts w:cstheme="majorHAnsi"/>
        </w:rPr>
        <w:t>Consent</w:t>
      </w:r>
      <w:bookmarkEnd w:id="205"/>
      <w:bookmarkEnd w:id="206"/>
      <w:bookmarkEnd w:id="207"/>
      <w:bookmarkEnd w:id="208"/>
      <w:r>
        <w:rPr>
          <w:rFonts w:cstheme="majorHAnsi"/>
        </w:rPr>
        <w:t xml:space="preserve"> </w:t>
      </w:r>
      <w:bookmarkEnd w:id="209"/>
      <w:bookmarkEnd w:id="210"/>
      <w:bookmarkEnd w:id="211"/>
      <w:bookmarkEnd w:id="212"/>
    </w:p>
    <w:p>
      <w:pPr>
        <w:pStyle w:val="5"/>
        <w:rPr>
          <w:rFonts w:asciiTheme="majorHAnsi" w:hAnsiTheme="majorHAnsi" w:cstheme="majorHAnsi"/>
          <w:u w:val="single"/>
        </w:rPr>
      </w:pPr>
      <w:r>
        <w:rPr>
          <w:rFonts w:asciiTheme="majorHAnsi" w:hAnsiTheme="majorHAnsi" w:cstheme="majorHAnsi"/>
          <w:lang w:eastAsia="en-GB"/>
        </w:rPr>
        <w:t>The ACC45 claim form gives consent for information to be provided regarding the initial consultation for the injury. Before obtaining further information to assess and manage the claim, signed informed consent will be requested from the employee. We discuss the consent with the injured Kaimahi-staff at the Initial Needs Assessment and the Authority to Collect Information form is accompanied by a fact sheet, which provides information about informed consent.</w:t>
      </w:r>
      <w:r>
        <w:rPr>
          <w:rFonts w:asciiTheme="majorHAnsi" w:hAnsiTheme="majorHAnsi" w:cstheme="majorHAnsi"/>
        </w:rPr>
        <w:t xml:space="preserve"> Signed consent is updated annually for all ongoing claims.</w:t>
      </w:r>
    </w:p>
    <w:p>
      <w:pPr>
        <w:pStyle w:val="7"/>
        <w:rPr>
          <w:rFonts w:cstheme="majorHAnsi"/>
        </w:rPr>
      </w:pPr>
      <w:bookmarkStart w:id="213" w:name="_Toc1645195237"/>
      <w:bookmarkStart w:id="214" w:name="_Toc2093035184"/>
      <w:bookmarkStart w:id="215" w:name="_Toc1465992028"/>
      <w:bookmarkStart w:id="216" w:name="_Toc101532338"/>
      <w:bookmarkStart w:id="217" w:name="_Toc90394259"/>
      <w:bookmarkStart w:id="218" w:name="_Toc90388354"/>
      <w:bookmarkStart w:id="219" w:name="_Toc101453871"/>
      <w:bookmarkStart w:id="220" w:name="_Toc1408959199"/>
      <w:r>
        <w:rPr>
          <w:rFonts w:cstheme="majorHAnsi"/>
        </w:rPr>
        <w:t>6.6</w:t>
      </w:r>
      <w:r>
        <w:rPr>
          <w:rFonts w:cstheme="majorHAnsi"/>
        </w:rPr>
        <w:tab/>
      </w:r>
      <w:r>
        <w:rPr>
          <w:rFonts w:cstheme="majorHAnsi"/>
        </w:rPr>
        <w:t>Claim contents</w:t>
      </w:r>
      <w:bookmarkEnd w:id="213"/>
      <w:bookmarkEnd w:id="214"/>
      <w:bookmarkEnd w:id="215"/>
      <w:bookmarkEnd w:id="216"/>
      <w:bookmarkEnd w:id="217"/>
      <w:bookmarkEnd w:id="218"/>
      <w:bookmarkEnd w:id="219"/>
      <w:bookmarkEnd w:id="220"/>
    </w:p>
    <w:p>
      <w:pPr>
        <w:pStyle w:val="5"/>
        <w:rPr>
          <w:rFonts w:asciiTheme="majorHAnsi" w:hAnsiTheme="majorHAnsi" w:cstheme="majorHAnsi"/>
          <w:lang w:eastAsia="en-GB"/>
        </w:rPr>
      </w:pPr>
      <w:r>
        <w:rPr>
          <w:rFonts w:asciiTheme="majorHAnsi" w:hAnsiTheme="majorHAnsi" w:cstheme="majorHAnsi"/>
          <w:lang w:eastAsia="en-GB"/>
        </w:rPr>
        <w:t>Howden Care establishes an individual electronic record for each claim received. It is identified by:</w:t>
      </w:r>
    </w:p>
    <w:p>
      <w:pPr>
        <w:pStyle w:val="292"/>
        <w:rPr>
          <w:rFonts w:asciiTheme="majorHAnsi" w:hAnsiTheme="majorHAnsi" w:cstheme="majorHAnsi"/>
        </w:rPr>
      </w:pPr>
      <w:r>
        <w:rPr>
          <w:rFonts w:asciiTheme="majorHAnsi" w:hAnsiTheme="majorHAnsi" w:cstheme="majorHAnsi"/>
        </w:rPr>
        <w:t>Employee’s name</w:t>
      </w:r>
    </w:p>
    <w:p>
      <w:pPr>
        <w:pStyle w:val="292"/>
        <w:rPr>
          <w:rFonts w:asciiTheme="majorHAnsi" w:hAnsiTheme="majorHAnsi" w:cstheme="majorHAnsi"/>
        </w:rPr>
      </w:pPr>
      <w:r>
        <w:rPr>
          <w:rFonts w:asciiTheme="majorHAnsi" w:hAnsiTheme="majorHAnsi" w:cstheme="majorHAnsi"/>
        </w:rPr>
        <w:t>Individual claim number</w:t>
      </w:r>
    </w:p>
    <w:p>
      <w:pPr>
        <w:pStyle w:val="292"/>
        <w:rPr>
          <w:rFonts w:asciiTheme="majorHAnsi" w:hAnsiTheme="majorHAnsi" w:cstheme="majorHAnsi"/>
        </w:rPr>
      </w:pPr>
      <w:r>
        <w:rPr>
          <w:rFonts w:asciiTheme="majorHAnsi" w:hAnsiTheme="majorHAnsi" w:cstheme="majorHAnsi"/>
        </w:rPr>
        <w:t>Date of injury</w:t>
      </w:r>
    </w:p>
    <w:p>
      <w:pPr>
        <w:pStyle w:val="5"/>
        <w:rPr>
          <w:rFonts w:asciiTheme="majorHAnsi" w:hAnsiTheme="majorHAnsi" w:cstheme="majorHAnsi"/>
          <w:lang w:eastAsia="en-GB"/>
        </w:rPr>
      </w:pPr>
      <w:r>
        <w:rPr>
          <w:rFonts w:asciiTheme="majorHAnsi" w:hAnsiTheme="majorHAnsi" w:cstheme="majorHAnsi"/>
          <w:lang w:eastAsia="en-GB"/>
        </w:rPr>
        <w:t>Each record will contain (where applicable):</w:t>
      </w:r>
    </w:p>
    <w:p>
      <w:pPr>
        <w:pStyle w:val="292"/>
        <w:rPr>
          <w:rFonts w:asciiTheme="majorHAnsi" w:hAnsiTheme="majorHAnsi" w:cstheme="majorHAnsi"/>
        </w:rPr>
      </w:pPr>
      <w:r>
        <w:rPr>
          <w:rFonts w:asciiTheme="majorHAnsi" w:hAnsiTheme="majorHAnsi" w:cstheme="majorHAnsi"/>
        </w:rPr>
        <w:t>Claim summary information</w:t>
      </w:r>
    </w:p>
    <w:p>
      <w:pPr>
        <w:pStyle w:val="292"/>
        <w:rPr>
          <w:rFonts w:asciiTheme="majorHAnsi" w:hAnsiTheme="majorHAnsi" w:cstheme="majorHAnsi"/>
        </w:rPr>
      </w:pPr>
      <w:r>
        <w:rPr>
          <w:rFonts w:asciiTheme="majorHAnsi" w:hAnsiTheme="majorHAnsi" w:cstheme="majorHAnsi"/>
        </w:rPr>
        <w:t>ACC45 and other medical certificates</w:t>
      </w:r>
    </w:p>
    <w:p>
      <w:pPr>
        <w:pStyle w:val="292"/>
        <w:rPr>
          <w:rFonts w:asciiTheme="majorHAnsi" w:hAnsiTheme="majorHAnsi" w:cstheme="majorHAnsi"/>
        </w:rPr>
      </w:pPr>
      <w:r>
        <w:rPr>
          <w:rFonts w:asciiTheme="majorHAnsi" w:hAnsiTheme="majorHAnsi" w:cstheme="majorHAnsi"/>
        </w:rPr>
        <w:t>Initial needs assessment and action plan</w:t>
      </w:r>
    </w:p>
    <w:p>
      <w:pPr>
        <w:pStyle w:val="292"/>
        <w:rPr>
          <w:rFonts w:asciiTheme="majorHAnsi" w:hAnsiTheme="majorHAnsi" w:cstheme="majorHAnsi"/>
        </w:rPr>
      </w:pPr>
      <w:r>
        <w:rPr>
          <w:rFonts w:asciiTheme="majorHAnsi" w:hAnsiTheme="majorHAnsi" w:cstheme="majorHAnsi"/>
        </w:rPr>
        <w:t>Decision letters</w:t>
      </w:r>
    </w:p>
    <w:p>
      <w:pPr>
        <w:pStyle w:val="292"/>
        <w:rPr>
          <w:rFonts w:asciiTheme="majorHAnsi" w:hAnsiTheme="majorHAnsi" w:cstheme="majorHAnsi"/>
        </w:rPr>
      </w:pPr>
      <w:r>
        <w:rPr>
          <w:rFonts w:asciiTheme="majorHAnsi" w:hAnsiTheme="majorHAnsi" w:cstheme="majorHAnsi"/>
        </w:rPr>
        <w:t>Injured employee's written consent</w:t>
      </w:r>
    </w:p>
    <w:p>
      <w:pPr>
        <w:pStyle w:val="292"/>
        <w:rPr>
          <w:rFonts w:asciiTheme="majorHAnsi" w:hAnsiTheme="majorHAnsi" w:cstheme="majorHAnsi"/>
        </w:rPr>
      </w:pPr>
      <w:r>
        <w:rPr>
          <w:rFonts w:asciiTheme="majorHAnsi" w:hAnsiTheme="majorHAnsi" w:cstheme="majorHAnsi"/>
        </w:rPr>
        <w:t>Rehabilitation plan</w:t>
      </w:r>
    </w:p>
    <w:p>
      <w:pPr>
        <w:pStyle w:val="292"/>
        <w:rPr>
          <w:rFonts w:asciiTheme="majorHAnsi" w:hAnsiTheme="majorHAnsi" w:cstheme="majorHAnsi"/>
        </w:rPr>
      </w:pPr>
      <w:r>
        <w:rPr>
          <w:rFonts w:asciiTheme="majorHAnsi" w:hAnsiTheme="majorHAnsi" w:cstheme="majorHAnsi"/>
        </w:rPr>
        <w:t>Weekly compensation calculations</w:t>
      </w:r>
    </w:p>
    <w:p>
      <w:pPr>
        <w:pStyle w:val="292"/>
        <w:rPr>
          <w:rFonts w:asciiTheme="majorHAnsi" w:hAnsiTheme="majorHAnsi" w:cstheme="majorHAnsi"/>
        </w:rPr>
      </w:pPr>
      <w:r>
        <w:rPr>
          <w:rFonts w:asciiTheme="majorHAnsi" w:hAnsiTheme="majorHAnsi" w:cstheme="majorHAnsi"/>
        </w:rPr>
        <w:t>Entitlement information</w:t>
      </w:r>
    </w:p>
    <w:p>
      <w:pPr>
        <w:pStyle w:val="292"/>
        <w:rPr>
          <w:rFonts w:asciiTheme="majorHAnsi" w:hAnsiTheme="majorHAnsi" w:cstheme="majorHAnsi"/>
        </w:rPr>
      </w:pPr>
      <w:r>
        <w:rPr>
          <w:rFonts w:asciiTheme="majorHAnsi" w:hAnsiTheme="majorHAnsi" w:cstheme="majorHAnsi"/>
        </w:rPr>
        <w:t>Treatment provider referrals and reports</w:t>
      </w:r>
    </w:p>
    <w:p>
      <w:pPr>
        <w:pStyle w:val="292"/>
        <w:rPr>
          <w:rFonts w:asciiTheme="majorHAnsi" w:hAnsiTheme="majorHAnsi" w:cstheme="majorHAnsi"/>
        </w:rPr>
      </w:pPr>
      <w:r>
        <w:rPr>
          <w:rFonts w:asciiTheme="majorHAnsi" w:hAnsiTheme="majorHAnsi" w:cstheme="majorHAnsi"/>
        </w:rPr>
        <w:t xml:space="preserve">Records of all correspondence </w:t>
      </w:r>
    </w:p>
    <w:p>
      <w:pPr>
        <w:pStyle w:val="5"/>
        <w:rPr>
          <w:rFonts w:eastAsia="Times New Roman" w:asciiTheme="majorHAnsi" w:hAnsiTheme="majorHAnsi" w:cstheme="majorHAnsi"/>
          <w:lang w:eastAsia="en-GB"/>
        </w:rPr>
      </w:pPr>
      <w:r>
        <w:rPr>
          <w:rFonts w:eastAsia="Times New Roman" w:asciiTheme="majorHAnsi" w:hAnsiTheme="majorHAnsi" w:cstheme="majorHAnsi"/>
          <w:lang w:eastAsia="en-GB"/>
        </w:rPr>
        <w:t xml:space="preserve">Claim records contain information relevant only to the management of the individual claim. Any claim information held by </w:t>
      </w:r>
      <w:r>
        <w:rPr>
          <w:rFonts w:ascii="Arial" w:hAnsi="Arial" w:eastAsia="Times New Roman" w:cstheme="majorHAnsi"/>
          <w:color w:val="auto"/>
          <w:lang w:eastAsia="en-GB"/>
        </w:rPr>
        <w:t>University of Otago</w:t>
      </w:r>
      <w:r>
        <w:rPr>
          <w:rFonts w:eastAsia="Times New Roman" w:asciiTheme="majorHAnsi" w:hAnsiTheme="majorHAnsi" w:cstheme="majorHAnsi"/>
          <w:color w:val="auto"/>
          <w:lang w:eastAsia="en-GB"/>
        </w:rPr>
        <w:t xml:space="preserve"> </w:t>
      </w:r>
      <w:r>
        <w:rPr>
          <w:rFonts w:eastAsia="Times New Roman" w:asciiTheme="majorHAnsi" w:hAnsiTheme="majorHAnsi" w:cstheme="majorHAnsi"/>
          <w:lang w:eastAsia="en-GB"/>
        </w:rPr>
        <w:t>will be kept in a separate injury management file from the employee’s personnel or HR file. Howden Care establishes entitlements based on identified injury needs and legislative eligibility, other factors such as known Kaimahi-staff work performance issues, cooperation with management or fraud are not allowed to influence these decisions.</w:t>
      </w:r>
    </w:p>
    <w:p>
      <w:pPr>
        <w:pStyle w:val="7"/>
        <w:rPr>
          <w:rFonts w:cstheme="majorHAnsi"/>
        </w:rPr>
      </w:pPr>
      <w:bookmarkStart w:id="221" w:name="_Toc90394260"/>
      <w:bookmarkStart w:id="222" w:name="_Toc488773280"/>
      <w:bookmarkStart w:id="223" w:name="_Toc101453872"/>
      <w:bookmarkStart w:id="224" w:name="_Toc1293303320"/>
      <w:bookmarkStart w:id="225" w:name="_Toc90388355"/>
      <w:bookmarkStart w:id="226" w:name="_Toc437154588"/>
      <w:bookmarkStart w:id="227" w:name="_Toc2071471072"/>
      <w:bookmarkStart w:id="228" w:name="_Toc101532339"/>
      <w:r>
        <w:rPr>
          <w:rFonts w:cstheme="majorHAnsi"/>
        </w:rPr>
        <w:t>6.7</w:t>
      </w:r>
      <w:r>
        <w:rPr>
          <w:rFonts w:cstheme="majorHAnsi"/>
        </w:rPr>
        <w:tab/>
      </w:r>
      <w:r>
        <w:rPr>
          <w:rFonts w:cstheme="majorHAnsi"/>
        </w:rPr>
        <w:t>Claim transfers</w:t>
      </w:r>
      <w:bookmarkEnd w:id="221"/>
      <w:bookmarkEnd w:id="222"/>
      <w:bookmarkEnd w:id="223"/>
      <w:bookmarkEnd w:id="224"/>
      <w:bookmarkEnd w:id="225"/>
      <w:bookmarkEnd w:id="226"/>
      <w:bookmarkEnd w:id="227"/>
      <w:bookmarkEnd w:id="228"/>
    </w:p>
    <w:p>
      <w:pPr>
        <w:pStyle w:val="5"/>
        <w:rPr>
          <w:rFonts w:asciiTheme="majorHAnsi" w:hAnsiTheme="majorHAnsi" w:cstheme="majorHAnsi"/>
          <w:lang w:eastAsia="en-GB"/>
        </w:rPr>
      </w:pPr>
      <w:r>
        <w:rPr>
          <w:rFonts w:asciiTheme="majorHAnsi" w:hAnsiTheme="majorHAnsi" w:cstheme="majorHAnsi"/>
          <w:lang w:eastAsia="en-GB"/>
        </w:rPr>
        <w:t>Claims may need to be transferred to ACC or another accredited employer if:</w:t>
      </w:r>
    </w:p>
    <w:p>
      <w:pPr>
        <w:pStyle w:val="292"/>
        <w:rPr>
          <w:rFonts w:asciiTheme="majorHAnsi" w:hAnsiTheme="majorHAnsi" w:cstheme="majorHAnsi"/>
        </w:rPr>
      </w:pPr>
      <w:r>
        <w:rPr>
          <w:rFonts w:asciiTheme="majorHAnsi" w:hAnsiTheme="majorHAnsi" w:cstheme="majorHAnsi"/>
        </w:rPr>
        <w:t xml:space="preserve">The claim was sent in error (e.g., non-work injury, wrong employer) </w:t>
      </w:r>
    </w:p>
    <w:p>
      <w:pPr>
        <w:pStyle w:val="292"/>
        <w:rPr>
          <w:rFonts w:asciiTheme="majorHAnsi" w:hAnsiTheme="majorHAnsi" w:cstheme="majorHAnsi"/>
        </w:rPr>
      </w:pPr>
      <w:r>
        <w:rPr>
          <w:rFonts w:asciiTheme="majorHAnsi" w:hAnsiTheme="majorHAnsi" w:cstheme="majorHAnsi"/>
        </w:rPr>
        <w:t xml:space="preserve">A claim is reactivated after the end of the agreed claims management period </w:t>
      </w:r>
    </w:p>
    <w:p>
      <w:pPr>
        <w:pStyle w:val="292"/>
        <w:rPr>
          <w:rFonts w:asciiTheme="majorHAnsi" w:hAnsiTheme="majorHAnsi" w:cstheme="majorHAnsi"/>
        </w:rPr>
      </w:pPr>
      <w:r>
        <w:rPr>
          <w:rFonts w:asciiTheme="majorHAnsi" w:hAnsiTheme="majorHAnsi" w:cstheme="majorHAnsi"/>
        </w:rPr>
        <w:t xml:space="preserve">The claim is open at the end of the agreed claims management period </w:t>
      </w:r>
    </w:p>
    <w:p>
      <w:pPr>
        <w:pStyle w:val="292"/>
        <w:rPr>
          <w:rFonts w:asciiTheme="majorHAnsi" w:hAnsiTheme="majorHAnsi" w:cstheme="majorHAnsi"/>
        </w:rPr>
      </w:pPr>
      <w:r>
        <w:rPr>
          <w:rFonts w:asciiTheme="majorHAnsi" w:hAnsiTheme="majorHAnsi" w:cstheme="majorHAnsi"/>
        </w:rPr>
        <w:t>Medical evidence supports the liability of the claim sits with ACC/another Accredited Employer</w:t>
      </w:r>
    </w:p>
    <w:p>
      <w:pPr>
        <w:pStyle w:val="292"/>
        <w:rPr>
          <w:rFonts w:asciiTheme="majorHAnsi" w:hAnsiTheme="majorHAnsi" w:cstheme="majorHAnsi"/>
        </w:rPr>
      </w:pPr>
      <w:r>
        <w:rPr>
          <w:rFonts w:asciiTheme="majorHAnsi" w:hAnsiTheme="majorHAnsi" w:cstheme="majorHAnsi"/>
        </w:rPr>
        <w:t>The claim is for a sensitive, serious injury or accidental death, as agreed with ACC</w:t>
      </w:r>
    </w:p>
    <w:p>
      <w:pPr>
        <w:pStyle w:val="5"/>
        <w:rPr>
          <w:rFonts w:eastAsia="Times New Roman" w:asciiTheme="majorHAnsi" w:hAnsiTheme="majorHAnsi" w:cstheme="majorHAnsi"/>
          <w:lang w:eastAsia="en-GB"/>
        </w:rPr>
      </w:pPr>
      <w:r>
        <w:rPr>
          <w:rFonts w:asciiTheme="majorHAnsi" w:hAnsiTheme="majorHAnsi" w:cstheme="majorHAnsi"/>
        </w:rPr>
        <w:t xml:space="preserve">The process for transferring claims will conform to any guidelines and directives issued by ACC and is found in </w:t>
      </w:r>
      <w:r>
        <w:fldChar w:fldCharType="begin"/>
      </w:r>
      <w:r>
        <w:instrText xml:space="preserve"> HYPERLINK \l "_Appendix_3_Claims" \h </w:instrText>
      </w:r>
      <w:r>
        <w:fldChar w:fldCharType="separate"/>
      </w:r>
      <w:r>
        <w:rPr>
          <w:rStyle w:val="55"/>
          <w:rFonts w:asciiTheme="majorHAnsi" w:hAnsiTheme="majorHAnsi" w:cstheme="majorHAnsi"/>
        </w:rPr>
        <w:t>Appendix 3 Claims transfer process</w:t>
      </w:r>
      <w:r>
        <w:rPr>
          <w:rStyle w:val="55"/>
          <w:rFonts w:asciiTheme="majorHAnsi" w:hAnsiTheme="majorHAnsi" w:cstheme="majorHAnsi"/>
        </w:rPr>
        <w:fldChar w:fldCharType="end"/>
      </w:r>
      <w:r>
        <w:rPr>
          <w:rFonts w:asciiTheme="majorHAnsi" w:hAnsiTheme="majorHAnsi" w:cstheme="majorHAnsi"/>
        </w:rPr>
        <w:t xml:space="preserve">. Howden Care is responsible for the transfer of claims with the agreement of </w:t>
      </w:r>
      <w:r>
        <w:rPr>
          <w:rFonts w:ascii="Arial" w:hAnsi="Arial" w:eastAsia="Times New Roman" w:cstheme="majorHAnsi"/>
          <w:color w:val="auto"/>
          <w:lang w:eastAsia="en-GB"/>
        </w:rPr>
        <w:t>University of Otago</w:t>
      </w:r>
      <w:r>
        <w:rPr>
          <w:rFonts w:eastAsia="Times New Roman" w:asciiTheme="majorHAnsi" w:hAnsiTheme="majorHAnsi" w:cstheme="majorHAnsi"/>
          <w:lang w:eastAsia="en-GB"/>
        </w:rPr>
        <w:t xml:space="preserve">. The Kaimahi-staff and other interested parties will be advised of the transfer. </w:t>
      </w:r>
    </w:p>
    <w:p>
      <w:pPr>
        <w:pStyle w:val="5"/>
        <w:rPr>
          <w:rFonts w:asciiTheme="majorHAnsi" w:hAnsiTheme="majorHAnsi" w:cstheme="majorHAnsi"/>
        </w:rPr>
      </w:pPr>
      <w:r>
        <w:rPr>
          <w:rFonts w:asciiTheme="majorHAnsi" w:hAnsiTheme="majorHAnsi" w:cstheme="majorHAnsi"/>
        </w:rPr>
        <w:t>Claims not requiring transfer at the end of the claims management period are securely held by Howden Care and are accessible to ACC on request.</w:t>
      </w:r>
    </w:p>
    <w:p>
      <w:pPr>
        <w:pStyle w:val="7"/>
        <w:rPr>
          <w:rFonts w:cstheme="majorHAnsi"/>
        </w:rPr>
      </w:pPr>
      <w:bookmarkStart w:id="229" w:name="_Toc1083883861"/>
      <w:bookmarkStart w:id="230" w:name="_Toc90394261"/>
      <w:bookmarkStart w:id="231" w:name="_Toc90388356"/>
      <w:bookmarkStart w:id="232" w:name="_Toc101453873"/>
      <w:bookmarkStart w:id="233" w:name="_Toc1660333831"/>
      <w:bookmarkStart w:id="234" w:name="_Toc1531914936"/>
      <w:bookmarkStart w:id="235" w:name="_Toc104798788"/>
      <w:bookmarkStart w:id="236" w:name="_Toc101532340"/>
      <w:r>
        <w:rPr>
          <w:rFonts w:cstheme="majorHAnsi"/>
        </w:rPr>
        <w:t>6.8</w:t>
      </w:r>
      <w:r>
        <w:rPr>
          <w:rFonts w:cstheme="majorHAnsi"/>
        </w:rPr>
        <w:tab/>
      </w:r>
      <w:r>
        <w:rPr>
          <w:rFonts w:cstheme="majorHAnsi"/>
        </w:rPr>
        <w:t>Claim closure</w:t>
      </w:r>
      <w:bookmarkEnd w:id="229"/>
      <w:bookmarkEnd w:id="230"/>
      <w:bookmarkEnd w:id="231"/>
      <w:bookmarkEnd w:id="232"/>
      <w:bookmarkEnd w:id="233"/>
      <w:bookmarkEnd w:id="234"/>
      <w:bookmarkEnd w:id="235"/>
      <w:bookmarkEnd w:id="236"/>
    </w:p>
    <w:p>
      <w:pPr>
        <w:pStyle w:val="5"/>
        <w:rPr>
          <w:rFonts w:asciiTheme="majorHAnsi" w:hAnsiTheme="majorHAnsi" w:cstheme="majorHAnsi"/>
        </w:rPr>
      </w:pPr>
      <w:r>
        <w:rPr>
          <w:rFonts w:asciiTheme="majorHAnsi" w:hAnsiTheme="majorHAnsi" w:cstheme="majorHAnsi"/>
        </w:rPr>
        <w:t>A claim is closed for the following reasons:</w:t>
      </w:r>
    </w:p>
    <w:p>
      <w:pPr>
        <w:spacing w:line="240" w:lineRule="auto"/>
        <w:ind w:left="284"/>
        <w:contextualSpacing/>
        <w:rPr>
          <w:rFonts w:asciiTheme="majorHAnsi" w:hAnsiTheme="majorHAnsi" w:cstheme="majorHAnsi"/>
          <w:color w:val="002060"/>
          <w:szCs w:val="22"/>
        </w:rPr>
      </w:pPr>
    </w:p>
    <w:tbl>
      <w:tblPr>
        <w:tblStyle w:val="115"/>
        <w:tblW w:w="9639" w:type="dxa"/>
        <w:tblInd w:w="0"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autofit"/>
        <w:tblCellMar>
          <w:top w:w="0" w:type="dxa"/>
          <w:left w:w="108" w:type="dxa"/>
          <w:bottom w:w="0" w:type="dxa"/>
          <w:right w:w="108" w:type="dxa"/>
        </w:tblCellMar>
      </w:tblPr>
      <w:tblGrid>
        <w:gridCol w:w="3827"/>
        <w:gridCol w:w="5812"/>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827" w:type="dxa"/>
            <w:tcBorders>
              <w:top w:val="single" w:color="152C46" w:themeColor="text1" w:sz="4" w:space="0"/>
              <w:bottom w:val="single" w:color="152C46" w:themeColor="text1" w:sz="4" w:space="0"/>
            </w:tcBorders>
            <w:shd w:val="clear" w:color="auto" w:fill="152C46" w:themeFill="text1"/>
          </w:tcPr>
          <w:p>
            <w:pPr>
              <w:spacing w:before="120" w:after="120" w:line="360" w:lineRule="auto"/>
              <w:ind w:left="284"/>
              <w:rPr>
                <w:rFonts w:asciiTheme="majorHAnsi" w:hAnsiTheme="majorHAnsi" w:cstheme="majorHAnsi"/>
                <w:b/>
                <w:color w:val="FFFFFF" w:themeColor="background1"/>
                <w:szCs w:val="22"/>
                <w14:textFill>
                  <w14:solidFill>
                    <w14:schemeClr w14:val="bg1"/>
                  </w14:solidFill>
                </w14:textFill>
              </w:rPr>
            </w:pPr>
            <w:r>
              <w:rPr>
                <w:rFonts w:asciiTheme="majorHAnsi" w:hAnsiTheme="majorHAnsi" w:cstheme="majorHAnsi"/>
                <w:b/>
                <w:color w:val="FFFFFF" w:themeColor="background1"/>
                <w:szCs w:val="22"/>
                <w14:textFill>
                  <w14:solidFill>
                    <w14:schemeClr w14:val="bg1"/>
                  </w14:solidFill>
                </w14:textFill>
              </w:rPr>
              <w:t xml:space="preserve"> Claim type</w:t>
            </w:r>
          </w:p>
        </w:tc>
        <w:tc>
          <w:tcPr>
            <w:tcW w:w="5812" w:type="dxa"/>
            <w:tcBorders>
              <w:top w:val="single" w:color="152C46" w:themeColor="text1" w:sz="4" w:space="0"/>
              <w:bottom w:val="single" w:color="152C46" w:themeColor="text1" w:sz="4" w:space="0"/>
            </w:tcBorders>
            <w:shd w:val="clear" w:color="auto" w:fill="152C46" w:themeFill="text1"/>
          </w:tcPr>
          <w:p>
            <w:pPr>
              <w:spacing w:before="120" w:after="120" w:line="360" w:lineRule="auto"/>
              <w:ind w:left="284"/>
              <w:rPr>
                <w:rFonts w:asciiTheme="majorHAnsi" w:hAnsiTheme="majorHAnsi" w:cstheme="majorHAnsi"/>
                <w:b/>
                <w:color w:val="FFFFFF" w:themeColor="background1"/>
                <w:szCs w:val="22"/>
                <w14:textFill>
                  <w14:solidFill>
                    <w14:schemeClr w14:val="bg1"/>
                  </w14:solidFill>
                </w14:textFill>
              </w:rPr>
            </w:pPr>
            <w:r>
              <w:rPr>
                <w:rFonts w:asciiTheme="majorHAnsi" w:hAnsiTheme="majorHAnsi" w:cstheme="majorHAnsi"/>
                <w:b/>
                <w:color w:val="FFFFFF" w:themeColor="background1"/>
                <w:szCs w:val="22"/>
                <w14:textFill>
                  <w14:solidFill>
                    <w14:schemeClr w14:val="bg1"/>
                  </w14:solidFill>
                </w14:textFill>
              </w:rPr>
              <w:t>Closed when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827" w:type="dxa"/>
            <w:tcBorders>
              <w:top w:val="single" w:color="152C46" w:themeColor="text1" w:sz="4" w:space="0"/>
            </w:tcBorders>
            <w:shd w:val="clear" w:color="auto" w:fill="F1F1F1" w:themeFill="background1" w:themeFillShade="F2"/>
          </w:tcPr>
          <w:p>
            <w:pPr>
              <w:spacing w:before="120" w:after="120" w:line="360" w:lineRule="auto"/>
              <w:ind w:left="284"/>
              <w:rPr>
                <w:rFonts w:asciiTheme="majorHAnsi" w:hAnsiTheme="majorHAnsi" w:cstheme="majorHAnsi"/>
                <w:color w:val="152C46" w:themeColor="text1"/>
                <w:szCs w:val="22"/>
                <w14:textFill>
                  <w14:solidFill>
                    <w14:schemeClr w14:val="tx1"/>
                  </w14:solidFill>
                </w14:textFill>
              </w:rPr>
            </w:pPr>
            <w:r>
              <w:rPr>
                <w:rFonts w:asciiTheme="majorHAnsi" w:hAnsiTheme="majorHAnsi" w:cstheme="majorHAnsi"/>
                <w:color w:val="152C46" w:themeColor="text1"/>
                <w:szCs w:val="22"/>
                <w14:textFill>
                  <w14:solidFill>
                    <w14:schemeClr w14:val="tx1"/>
                  </w14:solidFill>
                </w14:textFill>
              </w:rPr>
              <w:t>Medical fee only claims</w:t>
            </w:r>
          </w:p>
        </w:tc>
        <w:tc>
          <w:tcPr>
            <w:tcW w:w="5812" w:type="dxa"/>
            <w:tcBorders>
              <w:top w:val="single" w:color="152C46" w:themeColor="text1" w:sz="4" w:space="0"/>
            </w:tcBorders>
            <w:shd w:val="clear" w:color="auto" w:fill="FFFFFF" w:themeFill="background1"/>
          </w:tcPr>
          <w:p>
            <w:pPr>
              <w:spacing w:before="120" w:after="120" w:line="360" w:lineRule="auto"/>
              <w:ind w:left="284"/>
              <w:rPr>
                <w:rFonts w:asciiTheme="majorHAnsi" w:hAnsiTheme="majorHAnsi" w:cstheme="majorHAnsi"/>
                <w:color w:val="152C46" w:themeColor="text1"/>
                <w:szCs w:val="22"/>
                <w14:textFill>
                  <w14:solidFill>
                    <w14:schemeClr w14:val="tx1"/>
                  </w14:solidFill>
                </w14:textFill>
              </w:rPr>
            </w:pPr>
            <w:r>
              <w:rPr>
                <w:rFonts w:asciiTheme="majorHAnsi" w:hAnsiTheme="majorHAnsi" w:cstheme="majorHAnsi"/>
                <w:color w:val="152C46" w:themeColor="text1"/>
                <w:szCs w:val="22"/>
                <w14:textFill>
                  <w14:solidFill>
                    <w14:schemeClr w14:val="tx1"/>
                  </w14:solidFill>
                </w14:textFill>
              </w:rPr>
              <w:t>There are no other actions expected.</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827" w:type="dxa"/>
            <w:shd w:val="clear" w:color="auto" w:fill="F1F1F1" w:themeFill="background1" w:themeFillShade="F2"/>
          </w:tcPr>
          <w:p>
            <w:pPr>
              <w:spacing w:before="120" w:after="120" w:line="360" w:lineRule="auto"/>
              <w:ind w:left="284"/>
              <w:rPr>
                <w:rFonts w:asciiTheme="majorHAnsi" w:hAnsiTheme="majorHAnsi" w:cstheme="majorHAnsi"/>
                <w:color w:val="152C46" w:themeColor="text1"/>
                <w:szCs w:val="22"/>
                <w14:textFill>
                  <w14:solidFill>
                    <w14:schemeClr w14:val="tx1"/>
                  </w14:solidFill>
                </w14:textFill>
              </w:rPr>
            </w:pPr>
            <w:r>
              <w:rPr>
                <w:rFonts w:asciiTheme="majorHAnsi" w:hAnsiTheme="majorHAnsi" w:cstheme="majorHAnsi"/>
                <w:color w:val="152C46" w:themeColor="text1"/>
                <w:szCs w:val="22"/>
                <w14:textFill>
                  <w14:solidFill>
                    <w14:schemeClr w14:val="tx1"/>
                  </w14:solidFill>
                </w14:textFill>
              </w:rPr>
              <w:t>Non-serious/Complex claims</w:t>
            </w:r>
          </w:p>
        </w:tc>
        <w:tc>
          <w:tcPr>
            <w:tcW w:w="5812" w:type="dxa"/>
            <w:shd w:val="clear" w:color="auto" w:fill="FFFFFF" w:themeFill="background1"/>
          </w:tcPr>
          <w:p>
            <w:pPr>
              <w:spacing w:before="120" w:after="120" w:line="240" w:lineRule="auto"/>
              <w:ind w:left="284"/>
              <w:rPr>
                <w:rFonts w:asciiTheme="majorHAnsi" w:hAnsiTheme="majorHAnsi" w:cstheme="majorHAnsi"/>
                <w:color w:val="152C46" w:themeColor="text1"/>
                <w:szCs w:val="22"/>
                <w14:textFill>
                  <w14:solidFill>
                    <w14:schemeClr w14:val="tx1"/>
                  </w14:solidFill>
                </w14:textFill>
              </w:rPr>
            </w:pPr>
            <w:r>
              <w:rPr>
                <w:rFonts w:asciiTheme="majorHAnsi" w:hAnsiTheme="majorHAnsi" w:cstheme="majorHAnsi"/>
                <w:color w:val="152C46" w:themeColor="text1"/>
                <w:szCs w:val="22"/>
                <w14:textFill>
                  <w14:solidFill>
                    <w14:schemeClr w14:val="tx1"/>
                  </w14:solidFill>
                </w14:textFill>
              </w:rPr>
              <w:t>The injured Kaimahi-staff has returned to full time work or completed their rehabilitation.</w:t>
            </w:r>
          </w:p>
          <w:p>
            <w:pPr>
              <w:spacing w:before="120" w:after="120" w:line="240" w:lineRule="auto"/>
              <w:ind w:left="284"/>
              <w:rPr>
                <w:rFonts w:asciiTheme="majorHAnsi" w:hAnsiTheme="majorHAnsi" w:cstheme="majorHAnsi"/>
                <w:color w:val="152C46" w:themeColor="text1"/>
                <w:szCs w:val="22"/>
                <w14:textFill>
                  <w14:solidFill>
                    <w14:schemeClr w14:val="tx1"/>
                  </w14:solidFill>
                </w14:textFill>
              </w:rPr>
            </w:pPr>
            <w:r>
              <w:rPr>
                <w:rFonts w:asciiTheme="majorHAnsi" w:hAnsiTheme="majorHAnsi" w:cstheme="majorHAnsi"/>
                <w:color w:val="152C46" w:themeColor="text1"/>
                <w:szCs w:val="22"/>
                <w14:textFill>
                  <w14:solidFill>
                    <w14:schemeClr w14:val="tx1"/>
                  </w14:solidFill>
                </w14:textFill>
              </w:rPr>
              <w:t>There are no other actions expected.</w:t>
            </w:r>
          </w:p>
        </w:tc>
      </w:tr>
    </w:tbl>
    <w:p>
      <w:pPr>
        <w:pStyle w:val="5"/>
        <w:rPr>
          <w:rFonts w:asciiTheme="majorHAnsi" w:hAnsiTheme="majorHAnsi" w:cstheme="majorHAnsi"/>
        </w:rPr>
      </w:pPr>
    </w:p>
    <w:p>
      <w:pPr>
        <w:pStyle w:val="5"/>
        <w:rPr>
          <w:rFonts w:asciiTheme="majorHAnsi" w:hAnsiTheme="majorHAnsi" w:cstheme="majorHAnsi"/>
        </w:rPr>
      </w:pPr>
      <w:r>
        <w:rPr>
          <w:rFonts w:asciiTheme="majorHAnsi" w:hAnsiTheme="majorHAnsi" w:cstheme="majorHAnsi"/>
        </w:rPr>
        <w:t xml:space="preserve">At claim closure, any correspondence held by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will be amalgamated onto the master claim file held by Howden Care. </w:t>
      </w:r>
    </w:p>
    <w:p>
      <w:pPr>
        <w:pStyle w:val="5"/>
        <w:rPr>
          <w:rFonts w:asciiTheme="majorHAnsi" w:hAnsiTheme="majorHAnsi" w:cstheme="majorHAnsi"/>
        </w:rPr>
      </w:pPr>
      <w:r>
        <w:rPr>
          <w:rFonts w:asciiTheme="majorHAnsi" w:hAnsiTheme="majorHAnsi" w:cstheme="majorHAnsi"/>
        </w:rPr>
        <w:t>Claims can be re-opened to process late payments or if further entitlements are required.</w:t>
      </w: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2"/>
        <w:rPr>
          <w:rFonts w:cstheme="majorHAnsi"/>
        </w:rPr>
      </w:pPr>
      <w:bookmarkStart w:id="237" w:name="_Toc90388357"/>
      <w:bookmarkStart w:id="238" w:name="_Toc90394262"/>
      <w:bookmarkStart w:id="239" w:name="_Toc598591372"/>
      <w:bookmarkStart w:id="240" w:name="_Toc101453874"/>
      <w:bookmarkStart w:id="241" w:name="_Toc1737472575"/>
      <w:bookmarkStart w:id="242" w:name="_Toc357258269"/>
      <w:bookmarkStart w:id="243" w:name="_Toc101532341"/>
      <w:bookmarkStart w:id="244" w:name="_Toc1558474640"/>
      <w:r>
        <w:rPr>
          <w:rFonts w:cstheme="majorHAnsi"/>
        </w:rPr>
        <w:t>ENTITLEMENTS</w:t>
      </w:r>
      <w:bookmarkEnd w:id="237"/>
      <w:bookmarkEnd w:id="238"/>
      <w:bookmarkEnd w:id="239"/>
      <w:bookmarkEnd w:id="240"/>
      <w:bookmarkEnd w:id="241"/>
      <w:bookmarkEnd w:id="242"/>
      <w:bookmarkEnd w:id="243"/>
      <w:bookmarkEnd w:id="244"/>
    </w:p>
    <w:p>
      <w:pPr>
        <w:pStyle w:val="7"/>
        <w:rPr>
          <w:rFonts w:cstheme="majorHAnsi"/>
        </w:rPr>
      </w:pPr>
      <w:bookmarkStart w:id="245" w:name="_Toc90394263"/>
      <w:bookmarkStart w:id="246" w:name="_Toc90388358"/>
      <w:bookmarkStart w:id="247" w:name="_Toc1708892597"/>
      <w:bookmarkStart w:id="248" w:name="_Toc101453875"/>
      <w:bookmarkStart w:id="249" w:name="_Toc101532342"/>
      <w:bookmarkStart w:id="250" w:name="_Toc712348284"/>
      <w:bookmarkStart w:id="251" w:name="_Toc1843402382"/>
      <w:bookmarkStart w:id="252" w:name="_Toc1125790510"/>
      <w:r>
        <w:rPr>
          <w:rFonts w:cstheme="majorHAnsi"/>
        </w:rPr>
        <w:t>7.1</w:t>
      </w:r>
      <w:r>
        <w:rPr>
          <w:rFonts w:cstheme="majorHAnsi"/>
        </w:rPr>
        <w:tab/>
      </w:r>
      <w:r>
        <w:rPr>
          <w:rFonts w:cstheme="majorHAnsi"/>
        </w:rPr>
        <w:t>Assessment of entitlements</w:t>
      </w:r>
      <w:bookmarkEnd w:id="245"/>
      <w:bookmarkEnd w:id="246"/>
      <w:bookmarkEnd w:id="247"/>
      <w:bookmarkEnd w:id="248"/>
      <w:bookmarkEnd w:id="249"/>
      <w:bookmarkEnd w:id="250"/>
      <w:bookmarkEnd w:id="251"/>
      <w:bookmarkEnd w:id="252"/>
    </w:p>
    <w:p>
      <w:pPr>
        <w:pStyle w:val="5"/>
        <w:rPr>
          <w:rFonts w:asciiTheme="majorHAnsi" w:hAnsiTheme="majorHAnsi" w:cstheme="majorHAnsi"/>
          <w:lang w:eastAsia="en-GB"/>
        </w:rPr>
      </w:pPr>
      <w:r>
        <w:rPr>
          <w:rFonts w:asciiTheme="majorHAnsi" w:hAnsiTheme="majorHAnsi" w:cstheme="majorHAnsi"/>
        </w:rPr>
        <w:t xml:space="preserve">The University of Otago OHN will complete an Initial Needs Assessment on all </w:t>
      </w:r>
      <w:r>
        <w:rPr>
          <w:rFonts w:asciiTheme="majorHAnsi" w:hAnsiTheme="majorHAnsi" w:cstheme="majorHAnsi"/>
          <w:lang w:eastAsia="en-GB"/>
        </w:rPr>
        <w:t>claims with time lost from work or an interruption to their normal working duties within two working days of receiving notification of the claim. This assessment considers the injured employee’s medical, vocational and social needs. The Kaimahi-staff and providers can also ask for entitlements to be considered.</w:t>
      </w:r>
    </w:p>
    <w:p>
      <w:pPr>
        <w:pStyle w:val="5"/>
        <w:rPr>
          <w:rFonts w:asciiTheme="majorHAnsi" w:hAnsiTheme="majorHAnsi" w:cstheme="majorHAnsi"/>
        </w:rPr>
      </w:pPr>
      <w:r>
        <w:rPr>
          <w:rFonts w:asciiTheme="majorHAnsi" w:hAnsiTheme="majorHAnsi" w:cstheme="majorHAnsi"/>
        </w:rPr>
        <w:t xml:space="preserve">The University of Otago OHN will continuously reassess entitlements during the rehabilitation process through regular contacts, weekly monitoring feedback and formal meetings. </w:t>
      </w:r>
    </w:p>
    <w:p>
      <w:pPr>
        <w:pStyle w:val="5"/>
        <w:rPr>
          <w:rFonts w:asciiTheme="majorHAnsi" w:hAnsiTheme="majorHAnsi" w:cstheme="majorHAnsi"/>
          <w:lang w:eastAsia="en-GB"/>
        </w:rPr>
      </w:pPr>
      <w:r>
        <w:rPr>
          <w:rFonts w:asciiTheme="majorHAnsi" w:hAnsiTheme="majorHAnsi" w:cstheme="majorHAnsi"/>
          <w:lang w:eastAsia="en-GB"/>
        </w:rPr>
        <w:t>The University of Otago OHN will consider entitlement decisions based on the requirement of the Act. A decision letter will be provided to the Kaimahi-staff for all entitlement decisions and the letter will advise the person of their right to have the decision reviewed.</w:t>
      </w:r>
    </w:p>
    <w:p>
      <w:pPr>
        <w:pStyle w:val="5"/>
        <w:rPr>
          <w:rFonts w:asciiTheme="majorHAnsi" w:hAnsiTheme="majorHAnsi" w:cstheme="majorHAnsi"/>
          <w:lang w:eastAsia="en-GB"/>
        </w:rPr>
      </w:pPr>
      <w:r>
        <w:rPr>
          <w:rFonts w:asciiTheme="majorHAnsi" w:hAnsiTheme="majorHAnsi" w:cstheme="majorHAnsi"/>
        </w:rPr>
        <w:t>If an entitlement cannot be approved the University of Otago will contact the Kaimahi-staff to explain the decision and advise them of their right to have the decision reviewed. Reasonable attempts will be made to contact the Kaimahi-staff to discuss the decision. T</w:t>
      </w:r>
      <w:r>
        <w:rPr>
          <w:rFonts w:asciiTheme="majorHAnsi" w:hAnsiTheme="majorHAnsi" w:cstheme="majorHAnsi"/>
          <w:lang w:eastAsia="en-GB"/>
        </w:rPr>
        <w:t>reatment provider(s) will also be advised in writing.</w:t>
      </w:r>
    </w:p>
    <w:p>
      <w:pPr>
        <w:pStyle w:val="5"/>
        <w:rPr>
          <w:rFonts w:asciiTheme="majorHAnsi" w:hAnsiTheme="majorHAnsi" w:cstheme="majorHAnsi"/>
          <w:lang w:eastAsia="en-GB"/>
        </w:rPr>
      </w:pPr>
      <w:r>
        <w:rPr>
          <w:rFonts w:asciiTheme="majorHAnsi" w:hAnsiTheme="majorHAnsi" w:cstheme="majorHAnsi"/>
          <w:lang w:eastAsia="en-GB"/>
        </w:rPr>
        <w:t xml:space="preserve">The University of Otago will cover any surcharges related to the injury treatment.  </w:t>
      </w:r>
    </w:p>
    <w:p>
      <w:pPr>
        <w:pStyle w:val="5"/>
        <w:rPr>
          <w:rFonts w:asciiTheme="majorHAnsi" w:hAnsiTheme="majorHAnsi" w:cstheme="majorHAnsi"/>
        </w:rPr>
      </w:pPr>
      <w:r>
        <w:rPr>
          <w:rFonts w:asciiTheme="majorHAnsi" w:hAnsiTheme="majorHAnsi" w:cstheme="majorHAnsi"/>
          <w:lang w:eastAsia="en-GB"/>
        </w:rPr>
        <w:t xml:space="preserve">Howden Care process these payments on behalf of the University.  All treatment costs must be approved by a member of the OHT.  </w:t>
      </w:r>
    </w:p>
    <w:p>
      <w:pPr>
        <w:pStyle w:val="5"/>
        <w:rPr>
          <w:rFonts w:asciiTheme="majorHAnsi" w:hAnsiTheme="majorHAnsi" w:cstheme="majorHAnsi"/>
          <w:lang w:eastAsia="en-GB"/>
        </w:rPr>
      </w:pPr>
      <w:r>
        <w:rPr>
          <w:rFonts w:asciiTheme="majorHAnsi" w:hAnsiTheme="majorHAnsi" w:cstheme="majorHAnsi"/>
          <w:lang w:eastAsia="en-GB"/>
        </w:rPr>
        <w:t xml:space="preserve">In some instances,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may provide additional entitlements that exceed the statutory minimum allowed for in the Act. The injured Kaimahi-staff will be advised of the provision of statutory entitlements in writing with relevant review right. If discretionary entitlements are being paid the Kaimahi-staff will be advised in writing and made aware that these:</w:t>
      </w:r>
    </w:p>
    <w:p>
      <w:pPr>
        <w:pStyle w:val="292"/>
        <w:rPr>
          <w:rFonts w:asciiTheme="majorHAnsi" w:hAnsiTheme="majorHAnsi" w:cstheme="majorHAnsi"/>
        </w:rPr>
      </w:pPr>
      <w:r>
        <w:rPr>
          <w:rFonts w:asciiTheme="majorHAnsi" w:hAnsiTheme="majorHAnsi" w:cstheme="majorHAnsi"/>
        </w:rPr>
        <w:t xml:space="preserve">Are not available if ACC manages the claim, </w:t>
      </w:r>
      <w:r>
        <w:rPr>
          <w:rFonts w:asciiTheme="majorHAnsi" w:hAnsiTheme="majorHAnsi" w:cstheme="majorHAnsi"/>
          <w:i/>
        </w:rPr>
        <w:t>and</w:t>
      </w:r>
    </w:p>
    <w:p>
      <w:pPr>
        <w:pStyle w:val="292"/>
        <w:rPr>
          <w:rFonts w:asciiTheme="majorHAnsi" w:hAnsiTheme="majorHAnsi" w:cstheme="majorHAnsi"/>
        </w:rPr>
      </w:pPr>
      <w:r>
        <w:rPr>
          <w:rFonts w:asciiTheme="majorHAnsi" w:hAnsiTheme="majorHAnsi" w:cstheme="majorHAnsi"/>
        </w:rPr>
        <w:t>Will not continue if it the claim is transferred to ACC for ongoing management</w:t>
      </w:r>
    </w:p>
    <w:p>
      <w:pPr>
        <w:pStyle w:val="7"/>
        <w:rPr>
          <w:rFonts w:cstheme="majorHAnsi"/>
        </w:rPr>
      </w:pPr>
      <w:bookmarkStart w:id="253" w:name="_Toc1472274754"/>
      <w:bookmarkStart w:id="254" w:name="_Toc101532343"/>
      <w:bookmarkStart w:id="255" w:name="_Toc1202098359"/>
      <w:bookmarkStart w:id="256" w:name="_Toc90394264"/>
      <w:bookmarkStart w:id="257" w:name="_Toc90388359"/>
      <w:bookmarkStart w:id="258" w:name="_Toc712114870"/>
      <w:bookmarkStart w:id="259" w:name="_Toc1967744270"/>
      <w:bookmarkStart w:id="260" w:name="_Toc101453876"/>
      <w:r>
        <w:rPr>
          <w:rFonts w:cstheme="majorHAnsi"/>
        </w:rPr>
        <w:t>7.2</w:t>
      </w:r>
      <w:r>
        <w:rPr>
          <w:rFonts w:cstheme="majorHAnsi"/>
        </w:rPr>
        <w:tab/>
      </w:r>
      <w:r>
        <w:rPr>
          <w:rFonts w:cstheme="majorHAnsi"/>
        </w:rPr>
        <w:t>Medical rehabilitation</w:t>
      </w:r>
      <w:bookmarkEnd w:id="253"/>
      <w:bookmarkEnd w:id="254"/>
      <w:bookmarkEnd w:id="255"/>
      <w:bookmarkEnd w:id="256"/>
      <w:bookmarkEnd w:id="257"/>
      <w:bookmarkEnd w:id="258"/>
      <w:bookmarkEnd w:id="259"/>
      <w:bookmarkEnd w:id="260"/>
    </w:p>
    <w:p>
      <w:pPr>
        <w:pStyle w:val="5"/>
        <w:rPr>
          <w:rFonts w:asciiTheme="majorHAnsi" w:hAnsiTheme="majorHAnsi" w:cstheme="majorHAnsi"/>
          <w:lang w:eastAsia="en-GB"/>
        </w:rPr>
      </w:pPr>
      <w:r>
        <w:rPr>
          <w:rFonts w:asciiTheme="majorHAnsi" w:hAnsiTheme="majorHAnsi" w:cstheme="majorHAnsi"/>
          <w:lang w:eastAsia="en-GB"/>
        </w:rPr>
        <w:t>Medical rehabilitation is treatment and interventions provided to help an injured Kaimahi-staff recover from their injury.</w:t>
      </w:r>
    </w:p>
    <w:p>
      <w:pPr>
        <w:pStyle w:val="5"/>
        <w:rPr>
          <w:rFonts w:asciiTheme="majorHAnsi" w:hAnsiTheme="majorHAnsi" w:cstheme="majorHAnsi"/>
          <w:lang w:eastAsia="en-GB"/>
        </w:rPr>
      </w:pPr>
      <w:r>
        <w:rPr>
          <w:rFonts w:asciiTheme="majorHAnsi" w:hAnsiTheme="majorHAnsi" w:cstheme="majorHAnsi"/>
          <w:lang w:eastAsia="en-GB"/>
        </w:rPr>
        <w:t>The following criteria apply to medical rehabilitation:</w:t>
      </w:r>
    </w:p>
    <w:p>
      <w:pPr>
        <w:pStyle w:val="292"/>
        <w:rPr>
          <w:rFonts w:asciiTheme="majorHAnsi" w:hAnsiTheme="majorHAnsi" w:cstheme="majorHAnsi"/>
        </w:rPr>
      </w:pPr>
      <w:r>
        <w:rPr>
          <w:rFonts w:asciiTheme="majorHAnsi" w:hAnsiTheme="majorHAnsi" w:cstheme="majorHAnsi"/>
        </w:rPr>
        <w:t xml:space="preserve">The treatment provided is necessary and appropriate for the particular injury, according to nature and severity. </w:t>
      </w:r>
    </w:p>
    <w:p>
      <w:pPr>
        <w:pStyle w:val="292"/>
        <w:rPr>
          <w:rFonts w:asciiTheme="majorHAnsi" w:hAnsiTheme="majorHAnsi" w:cstheme="majorHAnsi"/>
        </w:rPr>
      </w:pPr>
      <w:r>
        <w:rPr>
          <w:rFonts w:asciiTheme="majorHAnsi" w:hAnsiTheme="majorHAnsi" w:cstheme="majorHAnsi"/>
        </w:rPr>
        <w:t xml:space="preserve">The treatment provider is an ACC-registered provider, and usually provides that service. </w:t>
      </w:r>
    </w:p>
    <w:p>
      <w:pPr>
        <w:pStyle w:val="292"/>
        <w:rPr>
          <w:rFonts w:asciiTheme="majorHAnsi" w:hAnsiTheme="majorHAnsi" w:cstheme="majorHAnsi"/>
        </w:rPr>
      </w:pPr>
      <w:r>
        <w:rPr>
          <w:rFonts w:asciiTheme="majorHAnsi" w:hAnsiTheme="majorHAnsi" w:cstheme="majorHAnsi"/>
        </w:rPr>
        <w:t xml:space="preserve">The number of treatments they provide is necessary to treat the injury. </w:t>
      </w:r>
    </w:p>
    <w:p>
      <w:pPr>
        <w:pStyle w:val="292"/>
        <w:rPr>
          <w:rFonts w:asciiTheme="majorHAnsi" w:hAnsiTheme="majorHAnsi" w:cstheme="majorHAnsi"/>
        </w:rPr>
      </w:pPr>
      <w:r>
        <w:rPr>
          <w:rFonts w:asciiTheme="majorHAnsi" w:hAnsiTheme="majorHAnsi" w:cstheme="majorHAnsi"/>
        </w:rPr>
        <w:t xml:space="preserve">The treatment is cost-effective and will achieve the desired outcome. </w:t>
      </w:r>
    </w:p>
    <w:p>
      <w:pPr>
        <w:pStyle w:val="5"/>
        <w:rPr>
          <w:rFonts w:asciiTheme="majorHAnsi" w:hAnsiTheme="majorHAnsi" w:cstheme="majorHAnsi"/>
          <w:lang w:eastAsia="en-GB"/>
        </w:rPr>
      </w:pPr>
      <w:r>
        <w:rPr>
          <w:rFonts w:asciiTheme="majorHAnsi" w:hAnsiTheme="majorHAnsi" w:cstheme="majorHAnsi"/>
          <w:lang w:eastAsia="en-GB"/>
        </w:rPr>
        <w:t xml:space="preserve">If a registered medical provider, including a physiotherapist, osteopath or chiropractor, provides treatment,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will allow up to</w:t>
      </w:r>
      <w:r>
        <w:rPr>
          <w:rFonts w:asciiTheme="majorHAnsi" w:hAnsiTheme="majorHAnsi" w:cstheme="majorHAnsi"/>
          <w:color w:val="D61634" w:themeColor="accent5" w:themeShade="BF"/>
          <w:lang w:eastAsia="en-GB"/>
        </w:rPr>
        <w:t xml:space="preserve"> 6 initial treatments and then another 3 if required </w:t>
      </w:r>
      <w:r>
        <w:rPr>
          <w:rFonts w:asciiTheme="majorHAnsi" w:hAnsiTheme="majorHAnsi" w:cstheme="majorHAnsi"/>
          <w:lang w:eastAsia="en-GB"/>
        </w:rPr>
        <w:t>treatments without prior approval, even if the claim is pending. After this initial set, the treatment provider can request in writing approval for further treatments.</w:t>
      </w:r>
    </w:p>
    <w:p>
      <w:pPr>
        <w:pStyle w:val="5"/>
        <w:rPr>
          <w:rFonts w:asciiTheme="majorHAnsi" w:hAnsiTheme="majorHAnsi" w:cstheme="majorHAnsi"/>
          <w:lang w:eastAsia="en-GB"/>
        </w:rPr>
      </w:pPr>
      <w:r>
        <w:rPr>
          <w:rFonts w:asciiTheme="majorHAnsi" w:hAnsiTheme="majorHAnsi" w:cstheme="majorHAnsi"/>
          <w:lang w:eastAsia="en-GB"/>
        </w:rPr>
        <w:t xml:space="preserve">For medical treatment such as surgery and non-acute dental treatment, employees must get prior approval before having the treatment. An opinion may be sought from a relevant specialist to confirm the treatment is the most appropriate form of treatment for the injury. </w:t>
      </w:r>
    </w:p>
    <w:p>
      <w:pPr>
        <w:rPr>
          <w:rFonts w:asciiTheme="majorHAnsi" w:hAnsiTheme="majorHAnsi" w:cstheme="majorHAnsi"/>
          <w:color w:val="152C46" w:themeColor="text1"/>
          <w:lang w:eastAsia="en-GB"/>
          <w14:textFill>
            <w14:solidFill>
              <w14:schemeClr w14:val="tx1"/>
            </w14:solidFill>
          </w14:textFill>
        </w:rPr>
      </w:pPr>
      <w:r>
        <w:rPr>
          <w:rFonts w:asciiTheme="majorHAnsi" w:hAnsiTheme="majorHAnsi" w:cstheme="majorHAnsi"/>
          <w:lang w:eastAsia="en-GB"/>
        </w:rPr>
        <w:br w:type="page"/>
      </w:r>
    </w:p>
    <w:p>
      <w:pPr>
        <w:pStyle w:val="7"/>
        <w:rPr>
          <w:rFonts w:cstheme="majorHAnsi"/>
        </w:rPr>
      </w:pPr>
      <w:bookmarkStart w:id="261" w:name="_Toc101453877"/>
      <w:bookmarkStart w:id="262" w:name="_Toc1062452096"/>
      <w:bookmarkStart w:id="263" w:name="_Toc1003573893"/>
      <w:bookmarkStart w:id="264" w:name="_Toc101532344"/>
      <w:bookmarkStart w:id="265" w:name="_Toc449443558"/>
      <w:bookmarkStart w:id="266" w:name="_Toc335956003"/>
      <w:bookmarkStart w:id="267" w:name="_Toc90388360"/>
      <w:bookmarkStart w:id="268" w:name="_Toc90394265"/>
      <w:r>
        <w:rPr>
          <w:rFonts w:cstheme="majorHAnsi"/>
        </w:rPr>
        <w:t>7.3</w:t>
      </w:r>
      <w:r>
        <w:rPr>
          <w:rFonts w:cstheme="majorHAnsi"/>
        </w:rPr>
        <w:tab/>
      </w:r>
      <w:r>
        <w:rPr>
          <w:rFonts w:cstheme="majorHAnsi"/>
        </w:rPr>
        <w:t>Social rehabilitation</w:t>
      </w:r>
      <w:bookmarkEnd w:id="261"/>
      <w:bookmarkEnd w:id="262"/>
      <w:bookmarkEnd w:id="263"/>
      <w:bookmarkEnd w:id="264"/>
      <w:bookmarkEnd w:id="265"/>
      <w:bookmarkEnd w:id="266"/>
      <w:bookmarkEnd w:id="267"/>
      <w:bookmarkEnd w:id="268"/>
    </w:p>
    <w:p>
      <w:pPr>
        <w:pStyle w:val="5"/>
        <w:rPr>
          <w:rFonts w:asciiTheme="majorHAnsi" w:hAnsiTheme="majorHAnsi" w:cstheme="majorHAnsi"/>
          <w:lang w:eastAsia="en-GB"/>
        </w:rPr>
      </w:pPr>
      <w:r>
        <w:rPr>
          <w:rFonts w:asciiTheme="majorHAnsi" w:hAnsiTheme="majorHAnsi" w:cstheme="majorHAnsi"/>
          <w:lang w:eastAsia="en-GB"/>
        </w:rPr>
        <w:t>Social rehabilitation refers to a range of entitlements aimed at helping the injured Kaimahi-staff to recover outside the workplace. These entitlements are identified and assessed where an injury is affecting the employee’s ability to carry out everyday functions. This is done:</w:t>
      </w:r>
    </w:p>
    <w:p>
      <w:pPr>
        <w:pStyle w:val="292"/>
        <w:rPr>
          <w:rFonts w:asciiTheme="majorHAnsi" w:hAnsiTheme="majorHAnsi" w:cstheme="majorHAnsi"/>
        </w:rPr>
      </w:pPr>
      <w:r>
        <w:rPr>
          <w:rFonts w:asciiTheme="majorHAnsi" w:hAnsiTheme="majorHAnsi" w:cstheme="majorHAnsi"/>
        </w:rPr>
        <w:t>During the initial needs assessment and throughout the rehabilitation process, or</w:t>
      </w:r>
    </w:p>
    <w:p>
      <w:pPr>
        <w:pStyle w:val="292"/>
        <w:rPr>
          <w:rFonts w:asciiTheme="majorHAnsi" w:hAnsiTheme="majorHAnsi" w:cstheme="majorHAnsi"/>
        </w:rPr>
      </w:pPr>
      <w:r>
        <w:rPr>
          <w:rFonts w:asciiTheme="majorHAnsi" w:hAnsiTheme="majorHAnsi" w:cstheme="majorHAnsi"/>
        </w:rPr>
        <w:t>Upon receiving a verbal or written request from the injured employee, their support person or a treatment provider</w:t>
      </w:r>
    </w:p>
    <w:p>
      <w:pPr>
        <w:pStyle w:val="5"/>
        <w:rPr>
          <w:rFonts w:asciiTheme="majorHAnsi" w:hAnsiTheme="majorHAnsi" w:cstheme="majorHAnsi"/>
          <w:lang w:eastAsia="en-GB"/>
        </w:rPr>
      </w:pPr>
      <w:r>
        <w:rPr>
          <w:rFonts w:asciiTheme="majorHAnsi" w:hAnsiTheme="majorHAnsi" w:cstheme="majorHAnsi"/>
          <w:lang w:eastAsia="en-GB"/>
        </w:rPr>
        <w:t xml:space="preserve">The university of Otago OHN: </w:t>
      </w:r>
    </w:p>
    <w:p>
      <w:pPr>
        <w:pStyle w:val="292"/>
        <w:rPr>
          <w:rFonts w:asciiTheme="majorHAnsi" w:hAnsiTheme="majorHAnsi" w:cstheme="majorHAnsi"/>
        </w:rPr>
      </w:pPr>
      <w:r>
        <w:rPr>
          <w:rFonts w:asciiTheme="majorHAnsi" w:hAnsiTheme="majorHAnsi" w:cstheme="majorHAnsi"/>
        </w:rPr>
        <w:t xml:space="preserve">Will assess the request against the ACC guidelines and legislation </w:t>
      </w:r>
    </w:p>
    <w:p>
      <w:pPr>
        <w:pStyle w:val="292"/>
        <w:rPr>
          <w:rFonts w:asciiTheme="majorHAnsi" w:hAnsiTheme="majorHAnsi" w:cstheme="majorHAnsi"/>
        </w:rPr>
      </w:pPr>
      <w:r>
        <w:rPr>
          <w:rFonts w:asciiTheme="majorHAnsi" w:hAnsiTheme="majorHAnsi" w:cstheme="majorHAnsi"/>
        </w:rPr>
        <w:t>Where required, will arrange a formal assessment to an ACC-approved assessor to provide advice on the most effective options to support needs</w:t>
      </w:r>
    </w:p>
    <w:p>
      <w:pPr>
        <w:pStyle w:val="5"/>
        <w:rPr>
          <w:rFonts w:asciiTheme="majorHAnsi" w:hAnsiTheme="majorHAnsi" w:cstheme="majorHAnsi"/>
          <w:lang w:eastAsia="en-GB"/>
        </w:rPr>
      </w:pPr>
      <w:r>
        <w:rPr>
          <w:rFonts w:asciiTheme="majorHAnsi" w:hAnsiTheme="majorHAnsi" w:cstheme="majorHAnsi"/>
          <w:lang w:eastAsia="en-GB"/>
        </w:rPr>
        <w:t>Social rehabilitation may include:</w:t>
      </w:r>
    </w:p>
    <w:tbl>
      <w:tblPr>
        <w:tblStyle w:val="115"/>
        <w:tblW w:w="9639" w:type="dxa"/>
        <w:tblInd w:w="0"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autofit"/>
        <w:tblCellMar>
          <w:top w:w="0" w:type="dxa"/>
          <w:left w:w="108" w:type="dxa"/>
          <w:bottom w:w="0" w:type="dxa"/>
          <w:right w:w="108" w:type="dxa"/>
        </w:tblCellMar>
      </w:tblPr>
      <w:tblGrid>
        <w:gridCol w:w="2269"/>
        <w:gridCol w:w="7370"/>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69" w:type="dxa"/>
            <w:tcBorders>
              <w:top w:val="single" w:color="152C46" w:themeColor="text1" w:sz="4" w:space="0"/>
              <w:bottom w:val="single" w:color="152C46" w:themeColor="text1" w:sz="4" w:space="0"/>
            </w:tcBorders>
            <w:shd w:val="clear" w:color="auto" w:fill="152C46" w:themeFill="text1"/>
          </w:tcPr>
          <w:p>
            <w:pPr>
              <w:spacing w:before="120" w:after="120" w:line="240" w:lineRule="auto"/>
              <w:ind w:left="46"/>
              <w:rPr>
                <w:rFonts w:eastAsia="Times New Roman" w:asciiTheme="majorHAnsi" w:hAnsiTheme="majorHAnsi" w:cstheme="majorHAnsi"/>
                <w:b/>
                <w:color w:val="FFFFFF" w:themeColor="background1"/>
                <w:szCs w:val="22"/>
                <w:lang w:eastAsia="en-GB"/>
                <w14:textFill>
                  <w14:solidFill>
                    <w14:schemeClr w14:val="bg1"/>
                  </w14:solidFill>
                </w14:textFill>
              </w:rPr>
            </w:pPr>
            <w:r>
              <w:rPr>
                <w:rFonts w:eastAsia="Times New Roman" w:asciiTheme="majorHAnsi" w:hAnsiTheme="majorHAnsi" w:cstheme="majorHAnsi"/>
                <w:b/>
                <w:color w:val="FFFFFF" w:themeColor="background1"/>
                <w:szCs w:val="22"/>
                <w:lang w:eastAsia="en-GB"/>
                <w14:textFill>
                  <w14:solidFill>
                    <w14:schemeClr w14:val="bg1"/>
                  </w14:solidFill>
                </w14:textFill>
              </w:rPr>
              <w:t>Assistance</w:t>
            </w:r>
          </w:p>
        </w:tc>
        <w:tc>
          <w:tcPr>
            <w:tcW w:w="7370" w:type="dxa"/>
            <w:tcBorders>
              <w:top w:val="single" w:color="152C46" w:themeColor="text1" w:sz="4" w:space="0"/>
              <w:bottom w:val="single" w:color="152C46" w:themeColor="text1" w:sz="4" w:space="0"/>
            </w:tcBorders>
            <w:shd w:val="clear" w:color="auto" w:fill="152C46" w:themeFill="text1"/>
          </w:tcPr>
          <w:p>
            <w:pPr>
              <w:spacing w:before="120" w:after="120" w:line="240" w:lineRule="auto"/>
              <w:ind w:left="284"/>
              <w:rPr>
                <w:rFonts w:eastAsia="Times New Roman" w:asciiTheme="majorHAnsi" w:hAnsiTheme="majorHAnsi" w:cstheme="majorHAnsi"/>
                <w:b/>
                <w:color w:val="FFFFFF" w:themeColor="background1"/>
                <w:szCs w:val="22"/>
                <w:lang w:eastAsia="en-GB"/>
                <w14:textFill>
                  <w14:solidFill>
                    <w14:schemeClr w14:val="bg1"/>
                  </w14:solidFill>
                </w14:textFill>
              </w:rPr>
            </w:pPr>
            <w:r>
              <w:rPr>
                <w:rFonts w:eastAsia="Times New Roman" w:asciiTheme="majorHAnsi" w:hAnsiTheme="majorHAnsi" w:cstheme="majorHAnsi"/>
                <w:b/>
                <w:color w:val="FFFFFF" w:themeColor="background1"/>
                <w:szCs w:val="22"/>
                <w:lang w:eastAsia="en-GB"/>
                <w14:textFill>
                  <w14:solidFill>
                    <w14:schemeClr w14:val="bg1"/>
                  </w14:solidFill>
                </w14:textFill>
              </w:rPr>
              <w:t>The injured Kaimahi-staff may be eligible for this type of assistance if</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624" w:hRule="atLeast"/>
        </w:trPr>
        <w:tc>
          <w:tcPr>
            <w:tcW w:w="2269" w:type="dxa"/>
            <w:tcBorders>
              <w:top w:val="single" w:color="152C46" w:themeColor="text1" w:sz="4" w:space="0"/>
            </w:tcBorders>
            <w:shd w:val="clear" w:color="auto" w:fill="F1F1F1" w:themeFill="background1" w:themeFillShade="F2"/>
            <w:vAlign w:val="center"/>
          </w:tcPr>
          <w:p>
            <w:pPr>
              <w:pStyle w:val="5"/>
              <w:spacing w:line="240" w:lineRule="auto"/>
              <w:ind w:left="46"/>
              <w:rPr>
                <w:rFonts w:asciiTheme="majorHAnsi" w:hAnsiTheme="majorHAnsi" w:cstheme="majorHAnsi"/>
                <w:b/>
                <w:lang w:eastAsia="en-GB"/>
              </w:rPr>
            </w:pPr>
            <w:r>
              <w:rPr>
                <w:rFonts w:asciiTheme="majorHAnsi" w:hAnsiTheme="majorHAnsi" w:cstheme="majorHAnsi"/>
                <w:b/>
                <w:lang w:eastAsia="en-GB"/>
              </w:rPr>
              <w:t>Home help</w:t>
            </w:r>
          </w:p>
        </w:tc>
        <w:tc>
          <w:tcPr>
            <w:tcW w:w="7370" w:type="dxa"/>
            <w:tcBorders>
              <w:top w:val="single" w:color="152C46" w:themeColor="text1" w:sz="4" w:space="0"/>
            </w:tcBorders>
            <w:shd w:val="clear" w:color="auto" w:fill="FFFFFF" w:themeFill="background1"/>
            <w:vAlign w:val="center"/>
          </w:tcPr>
          <w:p>
            <w:pPr>
              <w:pStyle w:val="5"/>
              <w:spacing w:before="120" w:line="240" w:lineRule="auto"/>
              <w:rPr>
                <w:rFonts w:asciiTheme="majorHAnsi" w:hAnsiTheme="majorHAnsi" w:cstheme="majorHAnsi"/>
                <w:lang w:eastAsia="en-GB"/>
              </w:rPr>
            </w:pPr>
            <w:r>
              <w:rPr>
                <w:rFonts w:asciiTheme="majorHAnsi" w:hAnsiTheme="majorHAnsi" w:cstheme="majorHAnsi"/>
                <w:lang w:eastAsia="en-GB"/>
              </w:rPr>
              <w:t>They were responsible for the home help task at the time of the injury or have become responsible since the injury, due to changed circumstances.</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624" w:hRule="atLeast"/>
        </w:trPr>
        <w:tc>
          <w:tcPr>
            <w:tcW w:w="2269" w:type="dxa"/>
            <w:shd w:val="clear" w:color="auto" w:fill="F1F1F1" w:themeFill="background1" w:themeFillShade="F2"/>
            <w:vAlign w:val="center"/>
          </w:tcPr>
          <w:p>
            <w:pPr>
              <w:pStyle w:val="5"/>
              <w:spacing w:line="240" w:lineRule="auto"/>
              <w:ind w:left="46"/>
              <w:rPr>
                <w:rFonts w:asciiTheme="majorHAnsi" w:hAnsiTheme="majorHAnsi" w:cstheme="majorHAnsi"/>
                <w:b/>
                <w:lang w:eastAsia="en-GB"/>
              </w:rPr>
            </w:pPr>
            <w:r>
              <w:rPr>
                <w:rFonts w:asciiTheme="majorHAnsi" w:hAnsiTheme="majorHAnsi" w:cstheme="majorHAnsi"/>
                <w:b/>
                <w:lang w:eastAsia="en-GB"/>
              </w:rPr>
              <w:t>Childcare</w:t>
            </w:r>
          </w:p>
        </w:tc>
        <w:tc>
          <w:tcPr>
            <w:tcW w:w="7370" w:type="dxa"/>
            <w:shd w:val="clear" w:color="auto" w:fill="FFFFFF" w:themeFill="background1"/>
            <w:vAlign w:val="center"/>
          </w:tcPr>
          <w:p>
            <w:pPr>
              <w:pStyle w:val="5"/>
              <w:spacing w:before="120" w:line="240" w:lineRule="auto"/>
              <w:rPr>
                <w:rFonts w:asciiTheme="majorHAnsi" w:hAnsiTheme="majorHAnsi" w:cstheme="majorHAnsi"/>
                <w:lang w:eastAsia="en-GB"/>
              </w:rPr>
            </w:pPr>
            <w:r>
              <w:rPr>
                <w:rFonts w:asciiTheme="majorHAnsi" w:hAnsiTheme="majorHAnsi" w:cstheme="majorHAnsi"/>
                <w:lang w:eastAsia="en-GB"/>
              </w:rPr>
              <w:t>They are the primary caregiver of one or more children under the age of 14, with whom they have a parent-child relationship.</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624" w:hRule="atLeast"/>
        </w:trPr>
        <w:tc>
          <w:tcPr>
            <w:tcW w:w="2269" w:type="dxa"/>
            <w:shd w:val="clear" w:color="auto" w:fill="F1F1F1" w:themeFill="background1" w:themeFillShade="F2"/>
            <w:vAlign w:val="center"/>
          </w:tcPr>
          <w:p>
            <w:pPr>
              <w:pStyle w:val="5"/>
              <w:spacing w:line="240" w:lineRule="auto"/>
              <w:ind w:left="46"/>
              <w:rPr>
                <w:rFonts w:asciiTheme="majorHAnsi" w:hAnsiTheme="majorHAnsi" w:cstheme="majorHAnsi"/>
                <w:b/>
                <w:lang w:eastAsia="en-GB"/>
              </w:rPr>
            </w:pPr>
            <w:r>
              <w:rPr>
                <w:rFonts w:asciiTheme="majorHAnsi" w:hAnsiTheme="majorHAnsi" w:cstheme="majorHAnsi"/>
                <w:b/>
                <w:lang w:eastAsia="en-GB"/>
              </w:rPr>
              <w:t>Attendant care</w:t>
            </w:r>
          </w:p>
        </w:tc>
        <w:tc>
          <w:tcPr>
            <w:tcW w:w="7370" w:type="dxa"/>
            <w:shd w:val="clear" w:color="auto" w:fill="FFFFFF" w:themeFill="background1"/>
            <w:vAlign w:val="center"/>
          </w:tcPr>
          <w:p>
            <w:pPr>
              <w:pStyle w:val="5"/>
              <w:spacing w:line="240" w:lineRule="auto"/>
              <w:rPr>
                <w:rFonts w:asciiTheme="majorHAnsi" w:hAnsiTheme="majorHAnsi" w:cstheme="majorHAnsi"/>
                <w:lang w:eastAsia="en-GB"/>
              </w:rPr>
            </w:pPr>
            <w:r>
              <w:rPr>
                <w:rFonts w:asciiTheme="majorHAnsi" w:hAnsiTheme="majorHAnsi" w:cstheme="majorHAnsi"/>
                <w:lang w:eastAsia="en-GB"/>
              </w:rPr>
              <w:t>They are unable to perform basic self-care due to the injury.</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624" w:hRule="atLeast"/>
        </w:trPr>
        <w:tc>
          <w:tcPr>
            <w:tcW w:w="2269" w:type="dxa"/>
            <w:shd w:val="clear" w:color="auto" w:fill="F1F1F1" w:themeFill="background1" w:themeFillShade="F2"/>
            <w:vAlign w:val="center"/>
          </w:tcPr>
          <w:p>
            <w:pPr>
              <w:pStyle w:val="5"/>
              <w:spacing w:line="240" w:lineRule="auto"/>
              <w:ind w:left="46"/>
              <w:rPr>
                <w:rFonts w:asciiTheme="majorHAnsi" w:hAnsiTheme="majorHAnsi" w:cstheme="majorHAnsi"/>
                <w:b/>
                <w:lang w:eastAsia="en-GB"/>
              </w:rPr>
            </w:pPr>
            <w:r>
              <w:rPr>
                <w:rFonts w:asciiTheme="majorHAnsi" w:hAnsiTheme="majorHAnsi" w:cstheme="majorHAnsi"/>
                <w:b/>
                <w:lang w:eastAsia="en-GB"/>
              </w:rPr>
              <w:t>Aids and appliances</w:t>
            </w:r>
          </w:p>
        </w:tc>
        <w:tc>
          <w:tcPr>
            <w:tcW w:w="7370" w:type="dxa"/>
            <w:shd w:val="clear" w:color="auto" w:fill="FFFFFF" w:themeFill="background1"/>
            <w:vAlign w:val="center"/>
          </w:tcPr>
          <w:p>
            <w:pPr>
              <w:pStyle w:val="5"/>
              <w:spacing w:line="240" w:lineRule="auto"/>
              <w:rPr>
                <w:rFonts w:asciiTheme="majorHAnsi" w:hAnsiTheme="majorHAnsi" w:cstheme="majorHAnsi"/>
                <w:lang w:eastAsia="en-GB"/>
              </w:rPr>
            </w:pPr>
            <w:r>
              <w:rPr>
                <w:rFonts w:asciiTheme="majorHAnsi" w:hAnsiTheme="majorHAnsi" w:cstheme="majorHAnsi"/>
                <w:lang w:eastAsia="en-GB"/>
              </w:rPr>
              <w:t>An appropriate professional has assessed and recommended these items.</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624" w:hRule="atLeast"/>
        </w:trPr>
        <w:tc>
          <w:tcPr>
            <w:tcW w:w="2269" w:type="dxa"/>
            <w:shd w:val="clear" w:color="auto" w:fill="F1F1F1" w:themeFill="background1" w:themeFillShade="F2"/>
            <w:vAlign w:val="center"/>
          </w:tcPr>
          <w:p>
            <w:pPr>
              <w:pStyle w:val="5"/>
              <w:spacing w:before="120" w:line="240" w:lineRule="auto"/>
              <w:ind w:left="46"/>
              <w:rPr>
                <w:rFonts w:asciiTheme="majorHAnsi" w:hAnsiTheme="majorHAnsi" w:cstheme="majorHAnsi"/>
                <w:b/>
                <w:lang w:eastAsia="en-GB"/>
              </w:rPr>
            </w:pPr>
            <w:r>
              <w:rPr>
                <w:rFonts w:asciiTheme="majorHAnsi" w:hAnsiTheme="majorHAnsi" w:cstheme="majorHAnsi"/>
                <w:b/>
                <w:lang w:eastAsia="en-GB"/>
              </w:rPr>
              <w:t>Transport to treatment</w:t>
            </w:r>
          </w:p>
        </w:tc>
        <w:tc>
          <w:tcPr>
            <w:tcW w:w="7370" w:type="dxa"/>
            <w:shd w:val="clear" w:color="auto" w:fill="FFFFFF" w:themeFill="background1"/>
            <w:vAlign w:val="center"/>
          </w:tcPr>
          <w:p>
            <w:pPr>
              <w:pStyle w:val="5"/>
              <w:spacing w:before="120" w:line="240" w:lineRule="auto"/>
              <w:rPr>
                <w:rFonts w:asciiTheme="majorHAnsi" w:hAnsiTheme="majorHAnsi" w:cstheme="majorHAnsi"/>
                <w:lang w:eastAsia="en-GB"/>
              </w:rPr>
            </w:pPr>
            <w:r>
              <w:rPr>
                <w:rFonts w:asciiTheme="majorHAnsi" w:hAnsiTheme="majorHAnsi" w:cstheme="majorHAnsi"/>
                <w:lang w:eastAsia="en-GB"/>
              </w:rPr>
              <w:t>They require assistance to get to and from treatment if the injury is preventing them from using their usual means of transport.</w:t>
            </w:r>
          </w:p>
        </w:tc>
      </w:tr>
    </w:tbl>
    <w:p>
      <w:pPr>
        <w:pStyle w:val="7"/>
        <w:rPr>
          <w:rFonts w:cstheme="majorHAnsi"/>
        </w:rPr>
      </w:pPr>
      <w:bookmarkStart w:id="269" w:name="_Toc806767137"/>
      <w:bookmarkStart w:id="270" w:name="_Toc2000694040"/>
      <w:bookmarkStart w:id="271" w:name="_Toc1163672834"/>
      <w:bookmarkStart w:id="272" w:name="_Toc1308395279"/>
      <w:bookmarkStart w:id="273" w:name="_Toc101453878"/>
      <w:bookmarkStart w:id="274" w:name="_Toc101532345"/>
      <w:r>
        <w:rPr>
          <w:rFonts w:cstheme="majorHAnsi"/>
        </w:rPr>
        <w:t>7.4</w:t>
      </w:r>
      <w:bookmarkStart w:id="275" w:name="_Toc90388361"/>
      <w:bookmarkStart w:id="276" w:name="_Toc90394266"/>
      <w:r>
        <w:rPr>
          <w:rFonts w:cstheme="majorHAnsi"/>
        </w:rPr>
        <w:tab/>
      </w:r>
      <w:r>
        <w:rPr>
          <w:rFonts w:cstheme="majorHAnsi"/>
        </w:rPr>
        <w:t>Vocational rehabilitation</w:t>
      </w:r>
      <w:bookmarkEnd w:id="269"/>
      <w:bookmarkEnd w:id="270"/>
      <w:bookmarkEnd w:id="271"/>
      <w:bookmarkEnd w:id="272"/>
      <w:bookmarkEnd w:id="273"/>
      <w:bookmarkEnd w:id="274"/>
      <w:bookmarkEnd w:id="275"/>
      <w:bookmarkEnd w:id="276"/>
    </w:p>
    <w:p>
      <w:pPr>
        <w:pStyle w:val="5"/>
        <w:rPr>
          <w:rFonts w:asciiTheme="majorHAnsi" w:hAnsiTheme="majorHAnsi" w:cstheme="majorHAnsi"/>
          <w:sz w:val="18"/>
        </w:rPr>
      </w:pPr>
      <w:r>
        <w:rPr>
          <w:rFonts w:asciiTheme="majorHAnsi" w:hAnsiTheme="majorHAnsi" w:cstheme="majorHAnsi"/>
          <w:lang w:eastAsia="en-GB"/>
        </w:rPr>
        <w:t>The purpose of vocational rehabilitation is to help the injured Kaimahi-staff to:</w:t>
      </w:r>
    </w:p>
    <w:p>
      <w:pPr>
        <w:pStyle w:val="292"/>
        <w:rPr>
          <w:rFonts w:asciiTheme="majorHAnsi" w:hAnsiTheme="majorHAnsi" w:cstheme="majorHAnsi"/>
        </w:rPr>
      </w:pPr>
      <w:r>
        <w:rPr>
          <w:rFonts w:asciiTheme="majorHAnsi" w:hAnsiTheme="majorHAnsi" w:cstheme="majorHAnsi"/>
        </w:rPr>
        <w:t>Stay at work</w:t>
      </w:r>
    </w:p>
    <w:p>
      <w:pPr>
        <w:pStyle w:val="292"/>
        <w:rPr>
          <w:rFonts w:asciiTheme="majorHAnsi" w:hAnsiTheme="majorHAnsi" w:cstheme="majorHAnsi"/>
        </w:rPr>
      </w:pPr>
      <w:r>
        <w:rPr>
          <w:rFonts w:asciiTheme="majorHAnsi" w:hAnsiTheme="majorHAnsi" w:cstheme="majorHAnsi"/>
        </w:rPr>
        <w:t>Get work, or</w:t>
      </w:r>
    </w:p>
    <w:p>
      <w:pPr>
        <w:pStyle w:val="292"/>
        <w:rPr>
          <w:rFonts w:asciiTheme="majorHAnsi" w:hAnsiTheme="majorHAnsi" w:cstheme="majorHAnsi"/>
        </w:rPr>
      </w:pPr>
      <w:r>
        <w:rPr>
          <w:rFonts w:asciiTheme="majorHAnsi" w:hAnsiTheme="majorHAnsi" w:cstheme="majorHAnsi"/>
        </w:rPr>
        <w:t xml:space="preserve">Re-gain or acquire vocational independence </w:t>
      </w:r>
    </w:p>
    <w:p>
      <w:pPr>
        <w:pStyle w:val="5"/>
        <w:rPr>
          <w:rFonts w:asciiTheme="majorHAnsi" w:hAnsiTheme="majorHAnsi" w:cstheme="majorHAnsi"/>
          <w:lang w:eastAsia="en-GB"/>
        </w:rPr>
      </w:pPr>
      <w:r>
        <w:rPr>
          <w:rFonts w:asciiTheme="majorHAnsi" w:hAnsiTheme="majorHAnsi" w:cstheme="majorHAnsi"/>
          <w:lang w:eastAsia="en-GB"/>
        </w:rPr>
        <w:t>Vocational rehabilitation is provided to support injured employees to:</w:t>
      </w:r>
    </w:p>
    <w:p>
      <w:pPr>
        <w:pStyle w:val="292"/>
        <w:rPr>
          <w:rFonts w:asciiTheme="majorHAnsi" w:hAnsiTheme="majorHAnsi" w:cstheme="majorHAnsi"/>
        </w:rPr>
      </w:pPr>
      <w:r>
        <w:rPr>
          <w:rFonts w:asciiTheme="majorHAnsi" w:hAnsiTheme="majorHAnsi" w:cstheme="majorHAnsi"/>
        </w:rPr>
        <w:t>Remain at work, or</w:t>
      </w:r>
    </w:p>
    <w:p>
      <w:pPr>
        <w:pStyle w:val="292"/>
        <w:rPr>
          <w:rFonts w:asciiTheme="majorHAnsi" w:hAnsiTheme="majorHAnsi" w:cstheme="majorHAnsi"/>
        </w:rPr>
      </w:pPr>
      <w:r>
        <w:rPr>
          <w:rFonts w:asciiTheme="majorHAnsi" w:hAnsiTheme="majorHAnsi" w:cstheme="majorHAnsi"/>
        </w:rPr>
        <w:t>Return to work in their pre-injury role as soon as practicable</w:t>
      </w:r>
    </w:p>
    <w:p>
      <w:pPr>
        <w:pStyle w:val="5"/>
        <w:rPr>
          <w:rFonts w:asciiTheme="majorHAnsi" w:hAnsiTheme="majorHAnsi" w:cstheme="majorHAnsi"/>
          <w:lang w:eastAsia="en-GB"/>
        </w:rPr>
      </w:pPr>
      <w:r>
        <w:rPr>
          <w:rFonts w:asciiTheme="majorHAnsi" w:hAnsiTheme="majorHAnsi" w:cstheme="majorHAnsi"/>
          <w:lang w:eastAsia="en-GB"/>
        </w:rPr>
        <w:t xml:space="preserve">The University of Otago OHN will assess entitlement to vocational rehabilitation: </w:t>
      </w:r>
    </w:p>
    <w:p>
      <w:pPr>
        <w:pStyle w:val="292"/>
        <w:rPr>
          <w:rFonts w:asciiTheme="majorHAnsi" w:hAnsiTheme="majorHAnsi" w:cstheme="majorHAnsi"/>
        </w:rPr>
      </w:pPr>
      <w:r>
        <w:rPr>
          <w:rFonts w:asciiTheme="majorHAnsi" w:hAnsiTheme="majorHAnsi" w:cstheme="majorHAnsi"/>
        </w:rPr>
        <w:t>When a need is identified through the Initial Needs Assessment and throughout the rehabilitation process</w:t>
      </w:r>
    </w:p>
    <w:p>
      <w:pPr>
        <w:pStyle w:val="292"/>
        <w:rPr>
          <w:rFonts w:asciiTheme="majorHAnsi" w:hAnsiTheme="majorHAnsi" w:cstheme="majorHAnsi"/>
        </w:rPr>
      </w:pPr>
      <w:r>
        <w:rPr>
          <w:rFonts w:asciiTheme="majorHAnsi" w:hAnsiTheme="majorHAnsi" w:cstheme="majorHAnsi"/>
        </w:rPr>
        <w:t>After receiving a verbal or written request from the Kaimahi-staff and/or treatment provider</w:t>
      </w:r>
    </w:p>
    <w:p>
      <w:pPr>
        <w:pStyle w:val="5"/>
        <w:rPr>
          <w:rFonts w:asciiTheme="majorHAnsi" w:hAnsiTheme="majorHAnsi" w:cstheme="majorHAnsi"/>
          <w:lang w:eastAsia="en-GB"/>
        </w:rPr>
      </w:pPr>
      <w:r>
        <w:rPr>
          <w:rFonts w:asciiTheme="majorHAnsi" w:hAnsiTheme="majorHAnsi" w:cstheme="majorHAnsi"/>
          <w:lang w:eastAsia="en-GB"/>
        </w:rPr>
        <w:t xml:space="preserve">Once a request is received, the University of Otago OHN will: </w:t>
      </w:r>
    </w:p>
    <w:p>
      <w:pPr>
        <w:pStyle w:val="292"/>
        <w:rPr>
          <w:rFonts w:asciiTheme="majorHAnsi" w:hAnsiTheme="majorHAnsi" w:cstheme="majorHAnsi"/>
        </w:rPr>
      </w:pPr>
      <w:r>
        <w:rPr>
          <w:rFonts w:asciiTheme="majorHAnsi" w:hAnsiTheme="majorHAnsi" w:cstheme="majorHAnsi"/>
        </w:rPr>
        <w:t>Assess the request according to the individual’s needs and consideration of the ACC guidelines and legislation, and then</w:t>
      </w:r>
    </w:p>
    <w:p>
      <w:pPr>
        <w:pStyle w:val="292"/>
        <w:rPr>
          <w:rFonts w:asciiTheme="majorHAnsi" w:hAnsiTheme="majorHAnsi" w:cstheme="majorHAnsi"/>
        </w:rPr>
      </w:pPr>
      <w:r>
        <w:rPr>
          <w:rFonts w:asciiTheme="majorHAnsi" w:hAnsiTheme="majorHAnsi" w:cstheme="majorHAnsi"/>
        </w:rPr>
        <w:t>Arrange the services directly, or</w:t>
      </w:r>
    </w:p>
    <w:p>
      <w:pPr>
        <w:pStyle w:val="292"/>
        <w:rPr>
          <w:rFonts w:asciiTheme="majorHAnsi" w:hAnsiTheme="majorHAnsi" w:cstheme="majorHAnsi"/>
        </w:rPr>
      </w:pPr>
      <w:r>
        <w:rPr>
          <w:rFonts w:asciiTheme="majorHAnsi" w:hAnsiTheme="majorHAnsi" w:cstheme="majorHAnsi"/>
        </w:rPr>
        <w:t>Arrange a formal assessment from an ACC-approved assessor to provide advice and support on the most effective options to support needs.</w:t>
      </w:r>
    </w:p>
    <w:p>
      <w:pPr>
        <w:pStyle w:val="5"/>
      </w:pPr>
      <w:r>
        <w:br w:type="page"/>
      </w:r>
      <w:r>
        <w:rPr>
          <w:lang w:eastAsia="en-GB"/>
        </w:rPr>
        <w:t>When assessing whether to provide vocational rehabilitation, The University of Otago OHN will consider the</w:t>
      </w:r>
      <w:r>
        <w:rPr>
          <w:lang w:eastAsia="en-GB"/>
        </w:rPr>
        <w:br w:type="textWrapping"/>
      </w:r>
      <w:r>
        <w:rPr>
          <w:lang w:eastAsia="en-GB"/>
        </w:rPr>
        <w:t>following:</w:t>
      </w:r>
    </w:p>
    <w:p>
      <w:pPr>
        <w:pStyle w:val="292"/>
        <w:rPr>
          <w:rFonts w:asciiTheme="majorHAnsi" w:hAnsiTheme="majorHAnsi" w:cstheme="majorHAnsi"/>
        </w:rPr>
      </w:pPr>
      <w:r>
        <w:rPr>
          <w:rFonts w:asciiTheme="majorHAnsi" w:hAnsiTheme="majorHAnsi" w:cstheme="majorHAnsi"/>
        </w:rPr>
        <w:t>Is the injured Kaimahi-staff entitled to weekly compensation?</w:t>
      </w:r>
    </w:p>
    <w:p>
      <w:pPr>
        <w:pStyle w:val="292"/>
        <w:rPr>
          <w:rFonts w:asciiTheme="majorHAnsi" w:hAnsiTheme="majorHAnsi" w:cstheme="majorHAnsi"/>
        </w:rPr>
      </w:pPr>
      <w:r>
        <w:rPr>
          <w:rFonts w:asciiTheme="majorHAnsi" w:hAnsiTheme="majorHAnsi" w:cstheme="majorHAnsi"/>
        </w:rPr>
        <w:t>Is vocational rehabilitation appropriate, cost-effective and likely to achieve the desired outcome?</w:t>
      </w:r>
    </w:p>
    <w:p>
      <w:pPr>
        <w:pStyle w:val="292"/>
        <w:rPr>
          <w:rFonts w:asciiTheme="majorHAnsi" w:hAnsiTheme="majorHAnsi" w:cstheme="majorHAnsi"/>
        </w:rPr>
      </w:pPr>
      <w:r>
        <w:rPr>
          <w:rFonts w:asciiTheme="majorHAnsi" w:hAnsiTheme="majorHAnsi" w:cstheme="majorHAnsi"/>
        </w:rPr>
        <w:t>Is it appropriate under the current circumstances?</w:t>
      </w:r>
    </w:p>
    <w:p>
      <w:pPr>
        <w:pStyle w:val="292"/>
        <w:rPr>
          <w:rFonts w:asciiTheme="majorHAnsi" w:hAnsiTheme="majorHAnsi" w:cstheme="majorHAnsi"/>
        </w:rPr>
      </w:pPr>
      <w:r>
        <w:rPr>
          <w:rFonts w:asciiTheme="majorHAnsi" w:hAnsiTheme="majorHAnsi" w:cstheme="majorHAnsi"/>
        </w:rPr>
        <w:t>Will it achieve its purpose under the injured employee’s rehabilitation plan?</w:t>
      </w:r>
    </w:p>
    <w:p>
      <w:pPr>
        <w:pStyle w:val="292"/>
        <w:rPr>
          <w:rFonts w:asciiTheme="majorHAnsi" w:hAnsiTheme="majorHAnsi" w:cstheme="majorHAnsi"/>
        </w:rPr>
      </w:pPr>
      <w:r>
        <w:rPr>
          <w:rFonts w:asciiTheme="majorHAnsi" w:hAnsiTheme="majorHAnsi" w:cstheme="majorHAnsi"/>
        </w:rPr>
        <w:t>Will it help the Kaimahi-staff return to work sooner, reducing the cost of weekly compensation?</w:t>
      </w:r>
    </w:p>
    <w:p>
      <w:pPr>
        <w:pStyle w:val="292"/>
        <w:rPr>
          <w:rFonts w:asciiTheme="majorHAnsi" w:hAnsiTheme="majorHAnsi" w:cstheme="majorHAnsi"/>
        </w:rPr>
      </w:pPr>
      <w:r>
        <w:rPr>
          <w:rFonts w:asciiTheme="majorHAnsi" w:hAnsiTheme="majorHAnsi" w:cstheme="majorHAnsi"/>
        </w:rPr>
        <w:t>Will vocational rehabilitation help the injured Kaimahi-staff to:</w:t>
      </w:r>
    </w:p>
    <w:p>
      <w:pPr>
        <w:pStyle w:val="292"/>
        <w:numPr>
          <w:ilvl w:val="1"/>
          <w:numId w:val="15"/>
        </w:numPr>
        <w:ind w:left="1134"/>
        <w:rPr>
          <w:rFonts w:asciiTheme="majorHAnsi" w:hAnsiTheme="majorHAnsi" w:cstheme="majorHAnsi"/>
          <w:lang w:eastAsia="en-GB"/>
        </w:rPr>
      </w:pPr>
      <w:r>
        <w:rPr>
          <w:rFonts w:asciiTheme="majorHAnsi" w:hAnsiTheme="majorHAnsi" w:cstheme="majorHAnsi"/>
          <w:lang w:eastAsia="en-GB"/>
        </w:rPr>
        <w:t>obtain work in other areas, taking into account their education, skills, training and experience, or</w:t>
      </w:r>
    </w:p>
    <w:p>
      <w:pPr>
        <w:pStyle w:val="292"/>
        <w:numPr>
          <w:ilvl w:val="1"/>
          <w:numId w:val="15"/>
        </w:numPr>
        <w:ind w:left="1134"/>
        <w:rPr>
          <w:rFonts w:asciiTheme="majorHAnsi" w:hAnsiTheme="majorHAnsi" w:cstheme="majorBidi"/>
          <w:lang w:eastAsia="en-GB"/>
        </w:rPr>
      </w:pPr>
      <w:r>
        <w:rPr>
          <w:rFonts w:asciiTheme="majorHAnsi" w:hAnsiTheme="majorHAnsi" w:cstheme="majorBidi"/>
          <w:lang w:eastAsia="en-GB"/>
        </w:rPr>
        <w:t>regain or acquire vocational independence, taking into account their education, skills, training and experience?</w:t>
      </w:r>
    </w:p>
    <w:p>
      <w:pPr>
        <w:pStyle w:val="7"/>
        <w:rPr>
          <w:rFonts w:cstheme="majorHAnsi"/>
        </w:rPr>
      </w:pPr>
      <w:bookmarkStart w:id="277" w:name="_Toc90388362"/>
      <w:bookmarkStart w:id="278" w:name="_Toc90394267"/>
      <w:bookmarkStart w:id="279" w:name="_Toc1867263204"/>
      <w:bookmarkStart w:id="280" w:name="_Toc460620458"/>
      <w:bookmarkStart w:id="281" w:name="_Toc1850897209"/>
      <w:bookmarkStart w:id="282" w:name="_Toc2044445114"/>
      <w:bookmarkStart w:id="283" w:name="_Toc101453879"/>
      <w:bookmarkStart w:id="284" w:name="_Toc101532346"/>
      <w:r>
        <w:rPr>
          <w:rFonts w:cstheme="majorHAnsi"/>
        </w:rPr>
        <w:t>7.5</w:t>
      </w:r>
      <w:r>
        <w:rPr>
          <w:rFonts w:cstheme="majorHAnsi"/>
        </w:rPr>
        <w:tab/>
      </w:r>
      <w:r>
        <w:rPr>
          <w:rFonts w:cstheme="majorHAnsi"/>
        </w:rPr>
        <w:t>Weekly compensation</w:t>
      </w:r>
      <w:bookmarkEnd w:id="277"/>
      <w:bookmarkEnd w:id="278"/>
      <w:bookmarkEnd w:id="279"/>
      <w:bookmarkEnd w:id="280"/>
      <w:bookmarkEnd w:id="281"/>
      <w:bookmarkEnd w:id="282"/>
      <w:bookmarkEnd w:id="283"/>
      <w:bookmarkEnd w:id="284"/>
    </w:p>
    <w:p>
      <w:pPr>
        <w:pStyle w:val="5"/>
        <w:rPr>
          <w:rFonts w:asciiTheme="majorHAnsi" w:hAnsiTheme="majorHAnsi" w:cstheme="majorHAnsi"/>
          <w:lang w:eastAsia="en-GB"/>
        </w:rPr>
      </w:pPr>
      <w:r>
        <w:rPr>
          <w:rFonts w:asciiTheme="majorHAnsi" w:hAnsiTheme="majorHAnsi" w:cstheme="majorHAnsi"/>
          <w:lang w:eastAsia="en-GB"/>
        </w:rPr>
        <w:t>Weekly compensation covers loss of earnings due to incapacity following a covered injury. Assessments are calculated according to the ACC legislation. An injured Kaimahi-staff will be entitled to weekly compensation if their work their work-related injury or illness has cover, and they:</w:t>
      </w:r>
    </w:p>
    <w:p>
      <w:pPr>
        <w:pStyle w:val="292"/>
        <w:rPr>
          <w:rFonts w:asciiTheme="majorHAnsi" w:hAnsiTheme="majorHAnsi" w:cstheme="majorHAnsi"/>
        </w:rPr>
      </w:pPr>
      <w:r>
        <w:rPr>
          <w:rFonts w:asciiTheme="majorHAnsi" w:hAnsiTheme="majorHAnsi" w:cstheme="majorHAnsi"/>
        </w:rPr>
        <w:t>Hold employment at the date of first incapacity (DOFI) or at date of subsequent incapacity (DOSI)</w:t>
      </w:r>
    </w:p>
    <w:p>
      <w:pPr>
        <w:pStyle w:val="292"/>
        <w:rPr>
          <w:rFonts w:asciiTheme="majorHAnsi" w:hAnsiTheme="majorHAnsi" w:cstheme="majorHAnsi"/>
        </w:rPr>
      </w:pPr>
      <w:r>
        <w:rPr>
          <w:rFonts w:asciiTheme="majorHAnsi" w:hAnsiTheme="majorHAnsi" w:cstheme="majorHAnsi"/>
        </w:rPr>
        <w:t xml:space="preserve">Have been an earner immediately before the incapacity </w:t>
      </w:r>
    </w:p>
    <w:p>
      <w:pPr>
        <w:pStyle w:val="292"/>
        <w:rPr>
          <w:rFonts w:asciiTheme="majorHAnsi" w:hAnsiTheme="majorHAnsi" w:cstheme="majorHAnsi"/>
        </w:rPr>
      </w:pPr>
      <w:r>
        <w:rPr>
          <w:rFonts w:asciiTheme="majorHAnsi" w:hAnsiTheme="majorHAnsi" w:cstheme="majorHAnsi"/>
        </w:rPr>
        <w:t xml:space="preserve">Are certified for longer than one week of incapacity for this injury/illness </w:t>
      </w:r>
    </w:p>
    <w:p>
      <w:pPr>
        <w:pStyle w:val="292"/>
        <w:rPr>
          <w:rFonts w:asciiTheme="majorHAnsi" w:hAnsiTheme="majorHAnsi" w:cstheme="majorHAnsi"/>
        </w:rPr>
      </w:pPr>
      <w:r>
        <w:rPr>
          <w:rFonts w:asciiTheme="majorHAnsi" w:hAnsiTheme="majorHAnsi" w:cstheme="majorHAnsi"/>
        </w:rPr>
        <w:t xml:space="preserve">Are unable to return to work on their normal full-time duties due to this injury/illness </w:t>
      </w:r>
    </w:p>
    <w:p>
      <w:pPr>
        <w:pStyle w:val="292"/>
        <w:rPr>
          <w:rFonts w:asciiTheme="majorHAnsi" w:hAnsiTheme="majorHAnsi" w:cstheme="majorHAnsi"/>
        </w:rPr>
      </w:pPr>
      <w:r>
        <w:rPr>
          <w:rFonts w:asciiTheme="majorHAnsi" w:hAnsiTheme="majorHAnsi" w:cstheme="majorHAnsi"/>
        </w:rPr>
        <w:t>Have provided medical certification to support the incapacity</w:t>
      </w:r>
    </w:p>
    <w:p>
      <w:pPr>
        <w:pStyle w:val="292"/>
        <w:numPr>
          <w:ilvl w:val="0"/>
          <w:numId w:val="0"/>
        </w:numPr>
        <w:ind w:left="792"/>
        <w:rPr>
          <w:rFonts w:asciiTheme="majorHAnsi" w:hAnsiTheme="majorHAnsi" w:cstheme="majorHAnsi"/>
          <w:lang w:eastAsia="en-GB"/>
        </w:rPr>
      </w:pPr>
    </w:p>
    <w:p>
      <w:pPr>
        <w:pStyle w:val="8"/>
        <w:rPr>
          <w:rFonts w:cstheme="majorHAnsi"/>
          <w:lang w:eastAsia="en-GB"/>
        </w:rPr>
      </w:pPr>
      <w:bookmarkStart w:id="285" w:name="_Toc90388363"/>
      <w:bookmarkStart w:id="286" w:name="_Toc101532347"/>
      <w:bookmarkStart w:id="287" w:name="_Toc101453880"/>
      <w:bookmarkStart w:id="288" w:name="_Toc1777578130"/>
      <w:bookmarkStart w:id="289" w:name="_Toc1924477331"/>
      <w:bookmarkStart w:id="290" w:name="_Toc90394268"/>
      <w:bookmarkStart w:id="291" w:name="_Toc1577442778"/>
      <w:bookmarkStart w:id="292" w:name="_Toc1544268483"/>
      <w:r>
        <w:rPr>
          <w:rFonts w:eastAsia="Times New Roman" w:cstheme="majorHAnsi"/>
          <w:lang w:eastAsia="en-GB"/>
        </w:rPr>
        <w:t>7.5.1</w:t>
      </w:r>
      <w:r>
        <w:rPr>
          <w:rFonts w:eastAsia="Times New Roman" w:cstheme="majorHAnsi"/>
          <w:lang w:eastAsia="en-GB"/>
        </w:rPr>
        <w:tab/>
      </w:r>
      <w:r>
        <w:rPr>
          <w:rFonts w:cstheme="majorHAnsi"/>
          <w:lang w:eastAsia="en-GB"/>
        </w:rPr>
        <w:t>Medical certification</w:t>
      </w:r>
      <w:bookmarkEnd w:id="285"/>
      <w:bookmarkEnd w:id="286"/>
      <w:bookmarkEnd w:id="287"/>
      <w:bookmarkEnd w:id="288"/>
      <w:bookmarkEnd w:id="289"/>
      <w:bookmarkEnd w:id="290"/>
      <w:bookmarkEnd w:id="291"/>
      <w:bookmarkEnd w:id="292"/>
    </w:p>
    <w:p>
      <w:pPr>
        <w:pStyle w:val="5"/>
        <w:rPr>
          <w:rFonts w:asciiTheme="majorHAnsi" w:hAnsiTheme="majorHAnsi" w:cstheme="majorHAnsi"/>
          <w:lang w:eastAsia="en-GB"/>
        </w:rPr>
      </w:pPr>
      <w:r>
        <w:rPr>
          <w:rFonts w:asciiTheme="majorHAnsi" w:hAnsiTheme="majorHAnsi" w:cstheme="majorHAnsi"/>
          <w:lang w:eastAsia="en-GB"/>
        </w:rPr>
        <w:t xml:space="preserve">If the injured Kaimahi-staff loses any time from work, beyond that noted on the ACC45, they must provide an ACC18 medical certificate for the period they can’t work. This certificate must clearly show their work capacity and activity restrictions. The OHN Case Manager can approve short periods of incapacity of up to seven days without a medical certificate.  </w:t>
      </w:r>
    </w:p>
    <w:p>
      <w:pPr>
        <w:pStyle w:val="8"/>
        <w:rPr>
          <w:rFonts w:cstheme="majorHAnsi"/>
          <w:lang w:eastAsia="en-GB"/>
        </w:rPr>
      </w:pPr>
      <w:bookmarkStart w:id="293" w:name="_Toc90394269"/>
      <w:bookmarkStart w:id="294" w:name="_Toc265015992"/>
      <w:bookmarkStart w:id="295" w:name="_Toc1893217333"/>
      <w:bookmarkStart w:id="296" w:name="_Toc1659062024"/>
      <w:bookmarkStart w:id="297" w:name="_Toc90388364"/>
      <w:bookmarkStart w:id="298" w:name="_Toc555893048"/>
      <w:bookmarkStart w:id="299" w:name="_Toc101453881"/>
      <w:bookmarkStart w:id="300" w:name="_Toc101532348"/>
      <w:r>
        <w:rPr>
          <w:rFonts w:cstheme="majorHAnsi"/>
          <w:lang w:eastAsia="en-GB"/>
        </w:rPr>
        <w:t>7.5.2</w:t>
      </w:r>
      <w:r>
        <w:rPr>
          <w:rFonts w:cstheme="majorHAnsi"/>
          <w:lang w:eastAsia="en-GB"/>
        </w:rPr>
        <w:tab/>
      </w:r>
      <w:r>
        <w:rPr>
          <w:rFonts w:cstheme="majorHAnsi"/>
          <w:lang w:eastAsia="en-GB"/>
        </w:rPr>
        <w:t>Calculating weekly compensation</w:t>
      </w:r>
      <w:bookmarkEnd w:id="293"/>
      <w:bookmarkEnd w:id="294"/>
      <w:bookmarkEnd w:id="295"/>
      <w:bookmarkEnd w:id="296"/>
      <w:bookmarkEnd w:id="297"/>
      <w:bookmarkEnd w:id="298"/>
      <w:bookmarkEnd w:id="299"/>
      <w:bookmarkEnd w:id="300"/>
    </w:p>
    <w:p>
      <w:pPr>
        <w:pStyle w:val="5"/>
        <w:rPr>
          <w:rFonts w:asciiTheme="majorHAnsi" w:hAnsiTheme="majorHAnsi" w:cstheme="majorHAnsi"/>
          <w:lang w:eastAsia="en-GB"/>
        </w:rPr>
      </w:pPr>
      <w:r>
        <w:rPr>
          <w:rFonts w:asciiTheme="majorHAnsi" w:hAnsiTheme="majorHAnsi" w:cstheme="majorHAnsi"/>
          <w:lang w:eastAsia="en-GB"/>
        </w:rPr>
        <w:t>To receive compensation the injured Kaimahi-staff must provide medical evidence showing that they are unable to work (ACC forms), and the University must approve the incapacity. Any secondary earnings are considered in weekly compensation and abatement calculations.</w:t>
      </w:r>
    </w:p>
    <w:p>
      <w:pPr>
        <w:pStyle w:val="5"/>
        <w:rPr>
          <w:rFonts w:asciiTheme="majorHAnsi" w:hAnsiTheme="majorHAnsi" w:cstheme="majorHAnsi"/>
          <w:lang w:eastAsia="en-GB"/>
        </w:rPr>
      </w:pPr>
      <w:r>
        <w:rPr>
          <w:rFonts w:asciiTheme="majorHAnsi" w:hAnsiTheme="majorHAnsi" w:cstheme="majorHAnsi"/>
          <w:lang w:eastAsia="en-GB"/>
        </w:rPr>
        <w:t>The University of Otago pay 100% salary for work related ACC compensation claims. This differs from the required ACC 80% compensation rate.</w:t>
      </w:r>
    </w:p>
    <w:p>
      <w:pPr>
        <w:pStyle w:val="5"/>
        <w:rPr>
          <w:rFonts w:asciiTheme="majorHAnsi" w:hAnsiTheme="majorHAnsi" w:cstheme="majorHAnsi"/>
          <w:lang w:eastAsia="en-GB"/>
        </w:rPr>
      </w:pPr>
      <w:r>
        <w:rPr>
          <w:rFonts w:asciiTheme="majorHAnsi" w:hAnsiTheme="majorHAnsi" w:cstheme="majorHAnsi"/>
          <w:lang w:eastAsia="en-GB"/>
        </w:rPr>
        <w:t>Howden Care complete the weekly compensation calculations, based on information provided by the OHN.  The required information is the ACC incapacity certificate, and the completed pre-injury earnings past 4 and 52 weeks requested by the OHN Case Manager from Payroll.  The OHN is responsible for identifying any additional earnings, including secondary employment, with the claimant and to notify Howden Care.</w:t>
      </w:r>
    </w:p>
    <w:p>
      <w:pPr>
        <w:pStyle w:val="5"/>
        <w:rPr>
          <w:rFonts w:asciiTheme="majorHAnsi" w:hAnsiTheme="majorHAnsi" w:cstheme="majorHAnsi"/>
          <w:lang w:eastAsia="en-GB"/>
        </w:rPr>
      </w:pPr>
      <w:r>
        <w:rPr>
          <w:rFonts w:asciiTheme="majorHAnsi" w:hAnsiTheme="majorHAnsi" w:cstheme="majorHAnsi"/>
          <w:lang w:eastAsia="en-GB"/>
        </w:rPr>
        <w:t>Weekly compensation is calculated as follows:</w:t>
      </w:r>
    </w:p>
    <w:tbl>
      <w:tblPr>
        <w:tblStyle w:val="16"/>
        <w:tblW w:w="9639" w:type="dxa"/>
        <w:tblInd w:w="-5"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fixed"/>
        <w:tblCellMar>
          <w:top w:w="0" w:type="dxa"/>
          <w:left w:w="108" w:type="dxa"/>
          <w:bottom w:w="0" w:type="dxa"/>
          <w:right w:w="108" w:type="dxa"/>
        </w:tblCellMar>
      </w:tblPr>
      <w:tblGrid>
        <w:gridCol w:w="2154"/>
        <w:gridCol w:w="7485"/>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154" w:type="dxa"/>
            <w:tcBorders>
              <w:top w:val="single" w:color="152C46" w:themeColor="text1" w:sz="4" w:space="0"/>
              <w:bottom w:val="single" w:color="152C46" w:themeColor="text1" w:sz="4" w:space="0"/>
            </w:tcBorders>
            <w:shd w:val="clear" w:color="auto" w:fill="152C46" w:themeFill="text1"/>
            <w:vAlign w:val="center"/>
          </w:tcPr>
          <w:p>
            <w:pPr>
              <w:spacing w:before="120" w:after="120" w:line="240" w:lineRule="auto"/>
              <w:rPr>
                <w:rFonts w:eastAsia="Times New Roman" w:asciiTheme="majorHAnsi" w:hAnsiTheme="majorHAnsi" w:cstheme="majorHAnsi"/>
                <w:b/>
                <w:color w:val="FFFFFF" w:themeColor="background1"/>
                <w:lang w:eastAsia="en-GB"/>
                <w14:textFill>
                  <w14:solidFill>
                    <w14:schemeClr w14:val="bg1"/>
                  </w14:solidFill>
                </w14:textFill>
              </w:rPr>
            </w:pPr>
            <w:r>
              <w:rPr>
                <w:rFonts w:eastAsia="Times New Roman" w:asciiTheme="majorHAnsi" w:hAnsiTheme="majorHAnsi" w:cstheme="majorHAnsi"/>
                <w:b/>
                <w:color w:val="FFFFFF" w:themeColor="background1"/>
                <w:lang w:eastAsia="en-GB"/>
                <w14:textFill>
                  <w14:solidFill>
                    <w14:schemeClr w14:val="bg1"/>
                  </w14:solidFill>
                </w14:textFill>
              </w:rPr>
              <w:t xml:space="preserve">Days </w:t>
            </w:r>
          </w:p>
        </w:tc>
        <w:tc>
          <w:tcPr>
            <w:tcW w:w="7485" w:type="dxa"/>
            <w:tcBorders>
              <w:top w:val="single" w:color="152C46" w:themeColor="text1" w:sz="4" w:space="0"/>
              <w:bottom w:val="single" w:color="152C46" w:themeColor="text1" w:sz="4" w:space="0"/>
            </w:tcBorders>
            <w:shd w:val="clear" w:color="auto" w:fill="152C46" w:themeFill="text1"/>
            <w:vAlign w:val="center"/>
          </w:tcPr>
          <w:p>
            <w:pPr>
              <w:spacing w:before="120" w:after="120" w:line="240" w:lineRule="auto"/>
              <w:rPr>
                <w:rFonts w:eastAsia="Times New Roman" w:asciiTheme="majorHAnsi" w:hAnsiTheme="majorHAnsi" w:cstheme="majorHAnsi"/>
                <w:b/>
                <w:color w:val="FFFFFF" w:themeColor="background1"/>
                <w:lang w:eastAsia="en-GB"/>
                <w14:textFill>
                  <w14:solidFill>
                    <w14:schemeClr w14:val="bg1"/>
                  </w14:solidFill>
                </w14:textFill>
              </w:rPr>
            </w:pPr>
            <w:r>
              <w:rPr>
                <w:rFonts w:eastAsia="Times New Roman" w:asciiTheme="majorHAnsi" w:hAnsiTheme="majorHAnsi" w:cstheme="majorHAnsi"/>
                <w:b/>
                <w:color w:val="FFFFFF" w:themeColor="background1"/>
                <w:lang w:eastAsia="en-GB"/>
                <w14:textFill>
                  <w14:solidFill>
                    <w14:schemeClr w14:val="bg1"/>
                  </w14:solidFill>
                </w14:textFill>
              </w:rPr>
              <w:t>Weekly compensation calculation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567" w:hRule="atLeast"/>
        </w:trPr>
        <w:tc>
          <w:tcPr>
            <w:tcW w:w="2154" w:type="dxa"/>
            <w:tcBorders>
              <w:top w:val="single" w:color="152C46" w:themeColor="text1" w:sz="4" w:space="0"/>
            </w:tcBorders>
            <w:shd w:val="clear" w:color="auto" w:fill="F1F1F1" w:themeFill="background1" w:themeFillShade="F2"/>
            <w:vAlign w:val="center"/>
          </w:tcPr>
          <w:p>
            <w:pPr>
              <w:pStyle w:val="5"/>
              <w:rPr>
                <w:rFonts w:asciiTheme="majorHAnsi" w:hAnsiTheme="majorHAnsi" w:cstheme="majorHAnsi"/>
                <w:b/>
                <w:lang w:eastAsia="en-GB"/>
              </w:rPr>
            </w:pPr>
            <w:r>
              <w:rPr>
                <w:rFonts w:asciiTheme="majorHAnsi" w:hAnsiTheme="majorHAnsi" w:cstheme="majorHAnsi"/>
                <w:b/>
                <w:lang w:eastAsia="en-GB"/>
              </w:rPr>
              <w:t xml:space="preserve">1–7 </w:t>
            </w:r>
          </w:p>
        </w:tc>
        <w:tc>
          <w:tcPr>
            <w:tcW w:w="7485" w:type="dxa"/>
            <w:tcBorders>
              <w:top w:val="single" w:color="152C46" w:themeColor="text1" w:sz="4" w:space="0"/>
            </w:tcBorders>
            <w:shd w:val="clear" w:color="auto" w:fill="FFFFFF" w:themeFill="background1"/>
            <w:vAlign w:val="center"/>
          </w:tcPr>
          <w:p>
            <w:pPr>
              <w:pStyle w:val="5"/>
              <w:rPr>
                <w:rFonts w:asciiTheme="majorHAnsi" w:hAnsiTheme="majorHAnsi" w:cstheme="majorHAnsi"/>
                <w:lang w:eastAsia="en-GB"/>
              </w:rPr>
            </w:pPr>
            <w:r>
              <w:rPr>
                <w:rFonts w:asciiTheme="majorHAnsi" w:hAnsiTheme="majorHAnsi" w:cstheme="majorHAnsi"/>
                <w:lang w:eastAsia="en-GB"/>
              </w:rPr>
              <w:t>The employer pays for the first seven days off work based on 80% of earnings.</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567" w:hRule="atLeast"/>
        </w:trPr>
        <w:tc>
          <w:tcPr>
            <w:tcW w:w="2154" w:type="dxa"/>
            <w:shd w:val="clear" w:color="auto" w:fill="F1F1F1" w:themeFill="background1" w:themeFillShade="F2"/>
            <w:vAlign w:val="center"/>
          </w:tcPr>
          <w:p>
            <w:pPr>
              <w:pStyle w:val="5"/>
              <w:rPr>
                <w:rFonts w:asciiTheme="majorHAnsi" w:hAnsiTheme="majorHAnsi" w:cstheme="majorHAnsi"/>
                <w:b/>
                <w:lang w:eastAsia="en-GB"/>
              </w:rPr>
            </w:pPr>
            <w:r>
              <w:rPr>
                <w:rFonts w:asciiTheme="majorHAnsi" w:hAnsiTheme="majorHAnsi" w:cstheme="majorHAnsi"/>
                <w:b/>
                <w:lang w:eastAsia="en-GB"/>
              </w:rPr>
              <w:t>8–35 (short term)</w:t>
            </w:r>
          </w:p>
        </w:tc>
        <w:tc>
          <w:tcPr>
            <w:tcW w:w="7485" w:type="dxa"/>
            <w:shd w:val="clear" w:color="auto" w:fill="FFFFFF" w:themeFill="background1"/>
            <w:vAlign w:val="center"/>
          </w:tcPr>
          <w:p>
            <w:pPr>
              <w:pStyle w:val="5"/>
              <w:spacing w:before="120"/>
              <w:rPr>
                <w:rFonts w:asciiTheme="majorHAnsi" w:hAnsiTheme="majorHAnsi" w:cstheme="majorHAnsi"/>
                <w:lang w:eastAsia="en-GB"/>
              </w:rPr>
            </w:pPr>
            <w:r>
              <w:rPr>
                <w:rFonts w:asciiTheme="majorHAnsi" w:hAnsiTheme="majorHAnsi" w:cstheme="majorHAnsi"/>
                <w:lang w:eastAsia="en-GB"/>
              </w:rPr>
              <w:t>Earnings are calculated based on the four weeks gross earnings before the first day off work. The figure is divided by 4 to get a weekly average. The weekly compensation rate is 80% of this figure.</w:t>
            </w:r>
          </w:p>
          <w:p>
            <w:pPr>
              <w:pStyle w:val="5"/>
              <w:spacing w:before="120"/>
              <w:rPr>
                <w:rFonts w:asciiTheme="majorHAnsi" w:hAnsiTheme="majorHAnsi" w:cstheme="majorHAnsi"/>
                <w:lang w:eastAsia="en-GB"/>
              </w:rPr>
            </w:pPr>
            <w:r>
              <w:rPr>
                <w:rFonts w:asciiTheme="majorHAnsi" w:hAnsiTheme="majorHAnsi" w:cstheme="majorHAnsi"/>
                <w:lang w:eastAsia="en-GB"/>
              </w:rPr>
              <w:t>However, the University of Otago pays 100% salary compensation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567" w:hRule="atLeast"/>
        </w:trPr>
        <w:tc>
          <w:tcPr>
            <w:tcW w:w="2154" w:type="dxa"/>
            <w:shd w:val="clear" w:color="auto" w:fill="F1F1F1" w:themeFill="background1" w:themeFillShade="F2"/>
            <w:vAlign w:val="center"/>
          </w:tcPr>
          <w:p>
            <w:pPr>
              <w:pStyle w:val="5"/>
              <w:rPr>
                <w:rFonts w:asciiTheme="majorHAnsi" w:hAnsiTheme="majorHAnsi" w:cstheme="majorHAnsi"/>
                <w:b/>
                <w:lang w:eastAsia="en-GB"/>
              </w:rPr>
            </w:pPr>
            <w:r>
              <w:rPr>
                <w:rFonts w:asciiTheme="majorHAnsi" w:hAnsiTheme="majorHAnsi" w:cstheme="majorHAnsi"/>
                <w:b/>
                <w:lang w:eastAsia="en-GB"/>
              </w:rPr>
              <w:t>36 until Return to Work (long term)</w:t>
            </w:r>
          </w:p>
        </w:tc>
        <w:tc>
          <w:tcPr>
            <w:tcW w:w="7485" w:type="dxa"/>
            <w:shd w:val="clear" w:color="auto" w:fill="FFFFFF" w:themeFill="background1"/>
            <w:vAlign w:val="center"/>
          </w:tcPr>
          <w:p>
            <w:pPr>
              <w:pStyle w:val="5"/>
              <w:spacing w:before="120"/>
              <w:rPr>
                <w:rFonts w:asciiTheme="majorHAnsi" w:hAnsiTheme="majorHAnsi" w:cstheme="majorHAnsi"/>
                <w:lang w:eastAsia="en-GB"/>
              </w:rPr>
            </w:pPr>
            <w:r>
              <w:rPr>
                <w:rFonts w:asciiTheme="majorHAnsi" w:hAnsiTheme="majorHAnsi" w:cstheme="majorHAnsi"/>
                <w:lang w:eastAsia="en-GB"/>
              </w:rPr>
              <w:t>Earnings are calculated using the 52 weeks’ gross earnings before the first day off work. This figure is divided by 52 to get a weekly average. The weekly compensation rate is 80% of this figure.  However, the University of Otago pays 100% salary compensation.</w:t>
            </w:r>
            <w:r>
              <w:rPr>
                <w:rFonts w:asciiTheme="majorHAnsi" w:hAnsiTheme="majorHAnsi" w:cstheme="majorHAnsi"/>
              </w:rPr>
              <w:br w:type="textWrapping"/>
            </w:r>
            <w:r>
              <w:rPr>
                <w:rFonts w:asciiTheme="majorHAnsi" w:hAnsiTheme="majorHAnsi" w:cstheme="majorHAnsi"/>
                <w:bCs/>
                <w:lang w:eastAsia="en-GB"/>
              </w:rPr>
              <w:t xml:space="preserve">Note: </w:t>
            </w:r>
            <w:r>
              <w:rPr>
                <w:rFonts w:asciiTheme="majorHAnsi" w:hAnsiTheme="majorHAnsi" w:cstheme="majorHAnsi"/>
                <w:lang w:eastAsia="en-GB"/>
              </w:rPr>
              <w:t>If the Kaimahi-staff started employment within the 52-week period, their earnings are divided by the number of weeks they worked.</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rHeight w:val="567" w:hRule="atLeast"/>
        </w:trPr>
        <w:tc>
          <w:tcPr>
            <w:tcW w:w="2154" w:type="dxa"/>
            <w:shd w:val="clear" w:color="auto" w:fill="F1F1F1" w:themeFill="background1" w:themeFillShade="F2"/>
            <w:vAlign w:val="center"/>
          </w:tcPr>
          <w:p>
            <w:pPr>
              <w:pStyle w:val="5"/>
              <w:rPr>
                <w:rFonts w:asciiTheme="majorHAnsi" w:hAnsiTheme="majorHAnsi" w:cstheme="majorHAnsi"/>
                <w:b/>
                <w:lang w:eastAsia="en-GB"/>
              </w:rPr>
            </w:pPr>
            <w:r>
              <w:rPr>
                <w:rFonts w:asciiTheme="majorHAnsi" w:hAnsiTheme="majorHAnsi" w:cstheme="majorHAnsi"/>
                <w:b/>
                <w:lang w:eastAsia="en-GB"/>
              </w:rPr>
              <w:t>Notes</w:t>
            </w:r>
          </w:p>
        </w:tc>
        <w:tc>
          <w:tcPr>
            <w:tcW w:w="7485" w:type="dxa"/>
            <w:shd w:val="clear" w:color="auto" w:fill="FFFFFF" w:themeFill="background1"/>
            <w:vAlign w:val="center"/>
          </w:tcPr>
          <w:p>
            <w:pPr>
              <w:pStyle w:val="5"/>
              <w:spacing w:before="120"/>
              <w:rPr>
                <w:rFonts w:asciiTheme="majorHAnsi" w:hAnsiTheme="majorHAnsi" w:cstheme="majorHAnsi"/>
                <w:lang w:eastAsia="en-GB"/>
              </w:rPr>
            </w:pPr>
            <w:r>
              <w:rPr>
                <w:rFonts w:asciiTheme="majorHAnsi" w:hAnsiTheme="majorHAnsi" w:cstheme="majorHAnsi"/>
                <w:lang w:eastAsia="en-GB"/>
              </w:rPr>
              <w:t>Earnings include work from all employment.</w:t>
            </w:r>
          </w:p>
          <w:p>
            <w:pPr>
              <w:pStyle w:val="5"/>
              <w:spacing w:before="120"/>
              <w:rPr>
                <w:rFonts w:asciiTheme="majorHAnsi" w:hAnsiTheme="majorHAnsi" w:cstheme="majorHAnsi"/>
                <w:lang w:eastAsia="en-GB"/>
              </w:rPr>
            </w:pPr>
            <w:r>
              <w:rPr>
                <w:rFonts w:asciiTheme="majorHAnsi" w:hAnsiTheme="majorHAnsi" w:cstheme="majorHAnsi"/>
              </w:rPr>
              <w:t xml:space="preserve">Refer to </w:t>
            </w:r>
            <w:r>
              <w:fldChar w:fldCharType="begin"/>
            </w:r>
            <w:r>
              <w:instrText xml:space="preserve"> HYPERLINK \l "_Appendix_4_Weekly" \h </w:instrText>
            </w:r>
            <w:r>
              <w:fldChar w:fldCharType="separate"/>
            </w:r>
            <w:r>
              <w:rPr>
                <w:rStyle w:val="55"/>
                <w:rFonts w:asciiTheme="majorHAnsi" w:hAnsiTheme="majorHAnsi" w:cstheme="majorHAnsi"/>
                <w:color w:val="00B0F0"/>
              </w:rPr>
              <w:t>Appendix 4 Weekly Compensation and Abatement process</w:t>
            </w:r>
            <w:r>
              <w:rPr>
                <w:rStyle w:val="55"/>
                <w:rFonts w:asciiTheme="majorHAnsi" w:hAnsiTheme="majorHAnsi" w:cstheme="majorHAnsi"/>
                <w:color w:val="00B0F0"/>
              </w:rPr>
              <w:fldChar w:fldCharType="end"/>
            </w:r>
          </w:p>
        </w:tc>
      </w:tr>
    </w:tbl>
    <w:p>
      <w:pPr>
        <w:pStyle w:val="8"/>
        <w:rPr>
          <w:b w:val="0"/>
          <w:bCs w:val="0"/>
          <w:color w:val="auto"/>
        </w:rPr>
      </w:pPr>
      <w:r>
        <w:rPr>
          <w:b w:val="0"/>
          <w:bCs w:val="0"/>
          <w:color w:val="auto"/>
        </w:rPr>
        <w:t>*University of Otago has chosen to fund 100% loss of earnings for their injured employees for all weekly compensation.</w:t>
      </w:r>
    </w:p>
    <w:p>
      <w:pPr>
        <w:pStyle w:val="8"/>
        <w:rPr>
          <w:rFonts w:cstheme="majorHAnsi"/>
        </w:rPr>
      </w:pPr>
      <w:bookmarkStart w:id="301" w:name="_Toc1625303362"/>
      <w:bookmarkStart w:id="302" w:name="_Toc90388365"/>
      <w:bookmarkStart w:id="303" w:name="_Toc90394270"/>
      <w:bookmarkStart w:id="304" w:name="_Toc1783144099"/>
      <w:bookmarkStart w:id="305" w:name="_Toc1655560015"/>
      <w:bookmarkStart w:id="306" w:name="_Toc1234734541"/>
      <w:bookmarkStart w:id="307" w:name="_Toc101453882"/>
      <w:bookmarkStart w:id="308" w:name="_Toc101532349"/>
      <w:r>
        <w:rPr>
          <w:rFonts w:cstheme="majorHAnsi"/>
        </w:rPr>
        <w:t>7.5.3</w:t>
      </w:r>
      <w:r>
        <w:rPr>
          <w:rFonts w:cstheme="majorHAnsi"/>
        </w:rPr>
        <w:tab/>
      </w:r>
      <w:r>
        <w:rPr>
          <w:rFonts w:cstheme="majorHAnsi"/>
        </w:rPr>
        <w:t>Abatement</w:t>
      </w:r>
      <w:bookmarkEnd w:id="301"/>
      <w:bookmarkEnd w:id="302"/>
      <w:bookmarkEnd w:id="303"/>
      <w:bookmarkEnd w:id="304"/>
      <w:bookmarkEnd w:id="305"/>
      <w:bookmarkEnd w:id="306"/>
      <w:bookmarkEnd w:id="307"/>
      <w:bookmarkEnd w:id="308"/>
    </w:p>
    <w:p>
      <w:pPr>
        <w:pStyle w:val="5"/>
        <w:rPr>
          <w:rFonts w:asciiTheme="majorHAnsi" w:hAnsiTheme="majorHAnsi" w:cstheme="majorHAnsi"/>
        </w:rPr>
      </w:pPr>
      <w:r>
        <w:rPr>
          <w:rFonts w:asciiTheme="majorHAnsi" w:hAnsiTheme="majorHAnsi" w:cstheme="majorHAnsi"/>
        </w:rPr>
        <w:t>Abatement payments will be calculated for injured employees who return to work in a reduced capacity and/or continue to receive taxable income from a secondary employment source. This is calculated as per ACC legislation.</w:t>
      </w:r>
    </w:p>
    <w:p>
      <w:pPr>
        <w:pStyle w:val="5"/>
        <w:rPr>
          <w:rStyle w:val="55"/>
          <w:rFonts w:asciiTheme="majorHAnsi" w:hAnsiTheme="majorHAnsi" w:cstheme="majorHAnsi"/>
        </w:rPr>
      </w:pPr>
      <w:r>
        <w:rPr>
          <w:rFonts w:asciiTheme="majorHAnsi" w:hAnsiTheme="majorHAnsi" w:cstheme="majorHAnsi"/>
        </w:rPr>
        <w:t xml:space="preserve">Refer to </w:t>
      </w:r>
      <w:r>
        <w:fldChar w:fldCharType="begin"/>
      </w:r>
      <w:r>
        <w:instrText xml:space="preserve"> HYPERLINK \l "_Appendix_4_Weekly" </w:instrText>
      </w:r>
      <w:r>
        <w:fldChar w:fldCharType="separate"/>
      </w:r>
      <w:r>
        <w:rPr>
          <w:rStyle w:val="55"/>
          <w:rFonts w:asciiTheme="majorHAnsi" w:hAnsiTheme="majorHAnsi" w:cstheme="majorHAnsi"/>
        </w:rPr>
        <w:t>Appendix 4 Weekly Compensation and Abatement process</w:t>
      </w:r>
      <w:r>
        <w:rPr>
          <w:rStyle w:val="55"/>
          <w:rFonts w:asciiTheme="majorHAnsi" w:hAnsiTheme="majorHAnsi" w:cstheme="majorHAnsi"/>
        </w:rPr>
        <w:fldChar w:fldCharType="end"/>
      </w:r>
    </w:p>
    <w:p>
      <w:pPr>
        <w:pStyle w:val="8"/>
        <w:rPr>
          <w:rFonts w:cstheme="majorHAnsi"/>
        </w:rPr>
      </w:pPr>
      <w:bookmarkStart w:id="309" w:name="_Toc1869426506"/>
      <w:bookmarkStart w:id="310" w:name="_Toc299797357"/>
      <w:bookmarkStart w:id="311" w:name="_Toc101532350"/>
      <w:bookmarkStart w:id="312" w:name="_Toc1688606850"/>
      <w:bookmarkStart w:id="313" w:name="_Toc1480983779"/>
      <w:bookmarkStart w:id="314" w:name="_Toc101453883"/>
      <w:bookmarkStart w:id="315" w:name="_Toc90388366"/>
      <w:bookmarkStart w:id="316" w:name="_Toc90394271"/>
      <w:r>
        <w:rPr>
          <w:rFonts w:cstheme="majorHAnsi"/>
        </w:rPr>
        <w:t>7.5.4</w:t>
      </w:r>
      <w:r>
        <w:rPr>
          <w:rFonts w:cstheme="majorHAnsi"/>
        </w:rPr>
        <w:tab/>
      </w:r>
      <w:r>
        <w:rPr>
          <w:rFonts w:cstheme="majorHAnsi"/>
        </w:rPr>
        <w:t>Weekly compensation and abatement assessment responsibilities</w:t>
      </w:r>
      <w:bookmarkEnd w:id="309"/>
      <w:bookmarkEnd w:id="310"/>
      <w:bookmarkEnd w:id="311"/>
      <w:bookmarkEnd w:id="312"/>
      <w:bookmarkEnd w:id="313"/>
      <w:bookmarkEnd w:id="314"/>
      <w:bookmarkEnd w:id="315"/>
      <w:bookmarkEnd w:id="316"/>
    </w:p>
    <w:p>
      <w:pPr>
        <w:pStyle w:val="5"/>
        <w:rPr>
          <w:rFonts w:asciiTheme="majorHAnsi" w:hAnsiTheme="majorHAnsi" w:cstheme="majorHAnsi"/>
          <w:lang w:eastAsia="en-GB"/>
        </w:rPr>
      </w:pPr>
      <w:r>
        <w:rPr>
          <w:rFonts w:asciiTheme="majorHAnsi" w:hAnsiTheme="majorHAnsi" w:cstheme="majorHAnsi"/>
          <w:lang w:eastAsia="en-GB"/>
        </w:rPr>
        <w:t>The injured Kaimahi-staff will:</w:t>
      </w:r>
    </w:p>
    <w:p>
      <w:pPr>
        <w:pStyle w:val="292"/>
        <w:rPr>
          <w:rFonts w:asciiTheme="majorHAnsi" w:hAnsiTheme="majorHAnsi" w:cstheme="majorHAnsi"/>
        </w:rPr>
      </w:pPr>
      <w:r>
        <w:rPr>
          <w:rFonts w:asciiTheme="majorHAnsi" w:hAnsiTheme="majorHAnsi" w:cstheme="majorHAnsi"/>
        </w:rPr>
        <w:t>Provide medical certificates for incapacity due to the injury.</w:t>
      </w:r>
    </w:p>
    <w:p>
      <w:pPr>
        <w:pStyle w:val="5"/>
        <w:rPr>
          <w:rFonts w:asciiTheme="majorHAnsi" w:hAnsiTheme="majorHAnsi" w:cstheme="majorHAnsi"/>
          <w:lang w:eastAsia="en-GB"/>
        </w:rPr>
      </w:pPr>
      <w:r>
        <w:rPr>
          <w:rFonts w:asciiTheme="majorHAnsi" w:hAnsiTheme="majorHAnsi" w:cstheme="majorHAnsi"/>
          <w:lang w:eastAsia="en-GB"/>
        </w:rPr>
        <w:t>The claim owner will:</w:t>
      </w:r>
    </w:p>
    <w:p>
      <w:pPr>
        <w:pStyle w:val="292"/>
        <w:rPr>
          <w:rFonts w:asciiTheme="majorHAnsi" w:hAnsiTheme="majorHAnsi" w:cstheme="majorHAnsi"/>
        </w:rPr>
      </w:pPr>
      <w:r>
        <w:rPr>
          <w:rFonts w:asciiTheme="majorHAnsi" w:hAnsiTheme="majorHAnsi" w:cstheme="majorHAnsi"/>
        </w:rPr>
        <w:t>Approve the weekly compensation entitlement and the medical incapacity.</w:t>
      </w:r>
    </w:p>
    <w:p>
      <w:pPr>
        <w:pStyle w:val="292"/>
        <w:rPr>
          <w:rFonts w:asciiTheme="majorHAnsi" w:hAnsiTheme="majorHAnsi" w:cstheme="majorHAnsi"/>
        </w:rPr>
      </w:pPr>
      <w:r>
        <w:rPr>
          <w:rFonts w:asciiTheme="majorHAnsi" w:hAnsiTheme="majorHAnsi" w:cstheme="majorHAnsi"/>
        </w:rPr>
        <w:t>Confirm the First Date of Incapacity (DOFI) and any Date of Subsequent Incapacity (DOSI)</w:t>
      </w:r>
    </w:p>
    <w:p>
      <w:pPr>
        <w:pStyle w:val="292"/>
        <w:rPr>
          <w:rFonts w:asciiTheme="majorHAnsi" w:hAnsiTheme="majorHAnsi" w:cstheme="majorHAnsi"/>
        </w:rPr>
      </w:pPr>
      <w:r>
        <w:rPr>
          <w:rFonts w:asciiTheme="majorHAnsi" w:hAnsiTheme="majorHAnsi" w:cstheme="majorHAnsi"/>
        </w:rPr>
        <w:t>Approve and confirm abatement periods.</w:t>
      </w:r>
    </w:p>
    <w:p>
      <w:pPr>
        <w:pStyle w:val="292"/>
        <w:rPr>
          <w:rFonts w:asciiTheme="majorHAnsi" w:hAnsiTheme="majorHAnsi" w:cstheme="majorHAnsi"/>
        </w:rPr>
      </w:pPr>
      <w:r>
        <w:rPr>
          <w:rFonts w:asciiTheme="majorHAnsi" w:hAnsiTheme="majorHAnsi" w:cstheme="majorHAnsi"/>
        </w:rPr>
        <w:t>Provide salary information (4 weeks and 52 weeks period)</w:t>
      </w:r>
    </w:p>
    <w:p>
      <w:pPr>
        <w:pStyle w:val="292"/>
        <w:rPr>
          <w:rFonts w:asciiTheme="majorHAnsi" w:hAnsiTheme="majorHAnsi" w:cstheme="majorHAnsi"/>
        </w:rPr>
      </w:pPr>
      <w:r>
        <w:rPr>
          <w:rFonts w:asciiTheme="majorHAnsi" w:hAnsiTheme="majorHAnsi" w:cstheme="majorHAnsi"/>
        </w:rPr>
        <w:t>Advise if there is any secondary employment.</w:t>
      </w:r>
    </w:p>
    <w:p>
      <w:pPr>
        <w:pStyle w:val="5"/>
        <w:rPr>
          <w:rFonts w:asciiTheme="majorHAnsi" w:hAnsiTheme="majorHAnsi" w:cstheme="majorHAnsi"/>
          <w:lang w:eastAsia="en-GB"/>
        </w:rPr>
      </w:pPr>
      <w:r>
        <w:rPr>
          <w:rFonts w:asciiTheme="majorHAnsi" w:hAnsiTheme="majorHAnsi" w:cstheme="majorHAnsi"/>
          <w:lang w:eastAsia="en-GB"/>
        </w:rPr>
        <w:t>The technical claims/payment officers will:</w:t>
      </w:r>
    </w:p>
    <w:p>
      <w:pPr>
        <w:pStyle w:val="292"/>
        <w:rPr>
          <w:rFonts w:asciiTheme="majorHAnsi" w:hAnsiTheme="majorHAnsi" w:cstheme="majorHAnsi"/>
        </w:rPr>
      </w:pPr>
      <w:r>
        <w:rPr>
          <w:rFonts w:asciiTheme="majorHAnsi" w:hAnsiTheme="majorHAnsi" w:cstheme="majorHAnsi"/>
        </w:rPr>
        <w:t>Ensure the medical certificate covers the relevant period of return-to-work duties.</w:t>
      </w:r>
    </w:p>
    <w:p>
      <w:pPr>
        <w:pStyle w:val="292"/>
        <w:rPr>
          <w:rFonts w:asciiTheme="majorHAnsi" w:hAnsiTheme="majorHAnsi" w:cstheme="majorHAnsi"/>
        </w:rPr>
      </w:pPr>
      <w:r>
        <w:rPr>
          <w:rFonts w:asciiTheme="majorHAnsi" w:hAnsiTheme="majorHAnsi" w:cstheme="majorHAnsi"/>
        </w:rPr>
        <w:t xml:space="preserve">Calculate the injured employees’ short- and long-term entitlement. </w:t>
      </w:r>
    </w:p>
    <w:p>
      <w:pPr>
        <w:pStyle w:val="292"/>
        <w:rPr>
          <w:rFonts w:asciiTheme="majorHAnsi" w:hAnsiTheme="majorHAnsi" w:cstheme="majorHAnsi"/>
        </w:rPr>
      </w:pPr>
      <w:r>
        <w:rPr>
          <w:rFonts w:asciiTheme="majorHAnsi" w:hAnsiTheme="majorHAnsi" w:cstheme="majorHAnsi"/>
        </w:rPr>
        <w:t xml:space="preserve">Apply changes due to Order in Council </w:t>
      </w:r>
    </w:p>
    <w:p>
      <w:pPr>
        <w:pStyle w:val="292"/>
        <w:rPr>
          <w:rFonts w:asciiTheme="majorHAnsi" w:hAnsiTheme="majorHAnsi" w:cstheme="majorHAnsi"/>
        </w:rPr>
      </w:pPr>
      <w:r>
        <w:rPr>
          <w:rFonts w:asciiTheme="majorHAnsi" w:hAnsiTheme="majorHAnsi" w:cstheme="majorHAnsi"/>
        </w:rPr>
        <w:t xml:space="preserve">Advise the Kaimahi-staff in writing of </w:t>
      </w:r>
    </w:p>
    <w:p>
      <w:pPr>
        <w:pStyle w:val="292"/>
        <w:numPr>
          <w:ilvl w:val="2"/>
          <w:numId w:val="9"/>
        </w:numPr>
        <w:rPr>
          <w:rFonts w:asciiTheme="majorHAnsi" w:hAnsiTheme="majorHAnsi" w:cstheme="majorHAnsi"/>
        </w:rPr>
      </w:pPr>
      <w:r>
        <w:rPr>
          <w:rFonts w:asciiTheme="majorHAnsi" w:hAnsiTheme="majorHAnsi" w:cstheme="majorHAnsi"/>
        </w:rPr>
        <w:t>Their weekly compensation rates and abatement calculations</w:t>
      </w:r>
    </w:p>
    <w:p>
      <w:pPr>
        <w:pStyle w:val="292"/>
        <w:numPr>
          <w:ilvl w:val="2"/>
          <w:numId w:val="9"/>
        </w:numPr>
        <w:rPr>
          <w:rFonts w:asciiTheme="majorHAnsi" w:hAnsiTheme="majorHAnsi" w:cstheme="majorHAnsi"/>
        </w:rPr>
      </w:pPr>
      <w:r>
        <w:rPr>
          <w:rFonts w:asciiTheme="majorHAnsi" w:hAnsiTheme="majorHAnsi" w:cstheme="majorHAnsi"/>
        </w:rPr>
        <w:t>That the University of Otago pay more than the ACC legislated amounts, and that ACC will not pay the higher amount if the claim is returned to ACC for management.</w:t>
      </w:r>
    </w:p>
    <w:p>
      <w:pPr>
        <w:pStyle w:val="5"/>
        <w:rPr>
          <w:rFonts w:asciiTheme="majorHAnsi" w:hAnsiTheme="majorHAnsi" w:cstheme="majorHAnsi"/>
          <w:lang w:eastAsia="en-GB"/>
        </w:rPr>
      </w:pPr>
      <w:r>
        <w:rPr>
          <w:rFonts w:asciiTheme="majorHAnsi" w:hAnsiTheme="majorHAnsi" w:cstheme="majorHAnsi"/>
          <w:lang w:eastAsia="en-GB"/>
        </w:rPr>
        <w:t>The Payroll Office will:</w:t>
      </w:r>
    </w:p>
    <w:p>
      <w:pPr>
        <w:pStyle w:val="292"/>
        <w:rPr>
          <w:rFonts w:asciiTheme="majorHAnsi" w:hAnsiTheme="majorHAnsi" w:cstheme="majorHAnsi"/>
        </w:rPr>
      </w:pPr>
      <w:r>
        <w:rPr>
          <w:rFonts w:asciiTheme="majorHAnsi" w:hAnsiTheme="majorHAnsi" w:cstheme="majorHAnsi"/>
        </w:rPr>
        <w:t>Complete the salary declaration when requested by the OHN.</w:t>
      </w:r>
    </w:p>
    <w:p>
      <w:pPr>
        <w:pStyle w:val="292"/>
        <w:rPr>
          <w:rFonts w:asciiTheme="majorHAnsi" w:hAnsiTheme="majorHAnsi" w:cstheme="majorHAnsi"/>
        </w:rPr>
      </w:pPr>
      <w:r>
        <w:rPr>
          <w:rFonts w:asciiTheme="majorHAnsi" w:hAnsiTheme="majorHAnsi" w:cstheme="majorHAnsi"/>
        </w:rPr>
        <w:t>Continue salary payments at 100% for the claimant.</w:t>
      </w:r>
    </w:p>
    <w:p>
      <w:pPr>
        <w:pStyle w:val="8"/>
        <w:rPr>
          <w:rFonts w:cstheme="majorHAnsi"/>
        </w:rPr>
      </w:pPr>
      <w:bookmarkStart w:id="317" w:name="_Toc90388367"/>
      <w:bookmarkStart w:id="318" w:name="_Toc90394272"/>
      <w:bookmarkStart w:id="319" w:name="_Toc101453884"/>
      <w:bookmarkStart w:id="320" w:name="_Toc101532351"/>
      <w:bookmarkStart w:id="321" w:name="_Toc1306157178"/>
      <w:bookmarkStart w:id="322" w:name="_Toc396096660"/>
      <w:bookmarkStart w:id="323" w:name="_Toc1811429840"/>
      <w:bookmarkStart w:id="324" w:name="_Toc300796913"/>
      <w:r>
        <w:rPr>
          <w:rFonts w:cstheme="majorHAnsi"/>
        </w:rPr>
        <w:t>7.5.5</w:t>
      </w:r>
      <w:r>
        <w:rPr>
          <w:rFonts w:cstheme="majorHAnsi"/>
        </w:rPr>
        <w:tab/>
      </w:r>
      <w:r>
        <w:rPr>
          <w:rFonts w:cstheme="majorHAnsi"/>
        </w:rPr>
        <w:t>Order in council</w:t>
      </w:r>
      <w:bookmarkEnd w:id="317"/>
      <w:bookmarkEnd w:id="318"/>
      <w:bookmarkEnd w:id="319"/>
      <w:bookmarkEnd w:id="320"/>
      <w:r>
        <w:rPr>
          <w:rFonts w:cstheme="majorHAnsi"/>
        </w:rPr>
        <w:t xml:space="preserve"> </w:t>
      </w:r>
      <w:bookmarkEnd w:id="321"/>
      <w:bookmarkEnd w:id="322"/>
      <w:bookmarkEnd w:id="323"/>
      <w:bookmarkEnd w:id="324"/>
    </w:p>
    <w:p>
      <w:pPr>
        <w:pStyle w:val="5"/>
        <w:rPr>
          <w:rFonts w:asciiTheme="majorHAnsi" w:hAnsiTheme="majorHAnsi" w:cstheme="majorHAnsi"/>
        </w:rPr>
      </w:pPr>
      <w:r>
        <w:rPr>
          <w:rFonts w:asciiTheme="majorHAnsi" w:hAnsiTheme="majorHAnsi" w:cstheme="majorHAnsi"/>
        </w:rPr>
        <w:t>Where ACC advise of changes required due to indexation, the weekly compensation rates (and other entitlements where applicable) will be adjusted accordingly. Injured employees are advised of the change in payment level in writing.</w:t>
      </w:r>
    </w:p>
    <w:p>
      <w:pPr>
        <w:pStyle w:val="5"/>
        <w:rPr>
          <w:rFonts w:eastAsia="Times New Roman" w:asciiTheme="majorHAnsi" w:hAnsiTheme="majorHAnsi" w:cstheme="majorHAnsi"/>
          <w:lang w:eastAsia="en-GB"/>
        </w:rPr>
      </w:pPr>
      <w:r>
        <w:rPr>
          <w:rFonts w:eastAsia="Times New Roman" w:asciiTheme="majorHAnsi" w:hAnsiTheme="majorHAnsi" w:cstheme="majorHAnsi"/>
          <w:lang w:eastAsia="en-GB"/>
        </w:rPr>
        <w:t>Indexation will be applied to injured employees who have:</w:t>
      </w:r>
    </w:p>
    <w:p>
      <w:pPr>
        <w:pStyle w:val="292"/>
        <w:rPr>
          <w:rFonts w:asciiTheme="majorHAnsi" w:hAnsiTheme="majorHAnsi" w:cstheme="majorHAnsi"/>
        </w:rPr>
      </w:pPr>
      <w:r>
        <w:rPr>
          <w:rFonts w:asciiTheme="majorHAnsi" w:hAnsiTheme="majorHAnsi" w:cstheme="majorHAnsi"/>
        </w:rPr>
        <w:t>Been entitled to receive weekly compensation continuously since 31 December before the indexation date, or</w:t>
      </w:r>
    </w:p>
    <w:p>
      <w:pPr>
        <w:pStyle w:val="292"/>
        <w:rPr>
          <w:rFonts w:asciiTheme="majorHAnsi" w:hAnsiTheme="majorHAnsi" w:cstheme="majorHAnsi"/>
        </w:rPr>
      </w:pPr>
      <w:r>
        <w:rPr>
          <w:rFonts w:asciiTheme="majorHAnsi" w:hAnsiTheme="majorHAnsi" w:cstheme="majorHAnsi"/>
        </w:rPr>
        <w:t>Received weekly compensation for any 26 weeks or part weeks in the 52 weeks before the indexation date.</w:t>
      </w:r>
    </w:p>
    <w:p>
      <w:pPr>
        <w:pStyle w:val="292"/>
        <w:numPr>
          <w:ilvl w:val="0"/>
          <w:numId w:val="0"/>
        </w:numPr>
        <w:ind w:left="792"/>
        <w:rPr>
          <w:rFonts w:asciiTheme="majorHAnsi" w:hAnsiTheme="majorHAnsi" w:cstheme="majorHAnsi"/>
        </w:rPr>
      </w:pP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7"/>
        <w:rPr>
          <w:rFonts w:cstheme="majorHAnsi"/>
        </w:rPr>
      </w:pPr>
      <w:bookmarkStart w:id="325" w:name="_Toc90394273"/>
      <w:bookmarkStart w:id="326" w:name="_Toc1271764418"/>
      <w:bookmarkStart w:id="327" w:name="_Toc1137169554"/>
      <w:bookmarkStart w:id="328" w:name="_Toc101453885"/>
      <w:bookmarkStart w:id="329" w:name="_Toc90388368"/>
      <w:bookmarkStart w:id="330" w:name="_Toc13027284"/>
      <w:bookmarkStart w:id="331" w:name="_Toc1434581108"/>
      <w:bookmarkStart w:id="332" w:name="_Toc101532352"/>
      <w:r>
        <w:rPr>
          <w:rFonts w:cstheme="majorHAnsi"/>
        </w:rPr>
        <w:t>7.6</w:t>
      </w:r>
      <w:r>
        <w:rPr>
          <w:rFonts w:cstheme="majorHAnsi"/>
        </w:rPr>
        <w:tab/>
      </w:r>
      <w:r>
        <w:rPr>
          <w:rFonts w:cstheme="majorHAnsi"/>
        </w:rPr>
        <w:t>Lump sum compensation</w:t>
      </w:r>
      <w:bookmarkEnd w:id="325"/>
      <w:bookmarkEnd w:id="326"/>
      <w:bookmarkEnd w:id="327"/>
      <w:bookmarkEnd w:id="328"/>
      <w:bookmarkEnd w:id="329"/>
      <w:bookmarkEnd w:id="330"/>
      <w:bookmarkEnd w:id="331"/>
      <w:bookmarkEnd w:id="332"/>
    </w:p>
    <w:p>
      <w:pPr>
        <w:pStyle w:val="5"/>
        <w:rPr>
          <w:rFonts w:asciiTheme="majorHAnsi" w:hAnsiTheme="majorHAnsi" w:cstheme="majorHAnsi"/>
          <w:lang w:eastAsia="en-GB"/>
        </w:rPr>
      </w:pPr>
      <w:r>
        <w:rPr>
          <w:rFonts w:asciiTheme="majorHAnsi" w:hAnsiTheme="majorHAnsi" w:cstheme="majorHAnsi"/>
          <w:lang w:eastAsia="en-GB"/>
        </w:rPr>
        <w:t xml:space="preserve">Injured employees may be eligible for a one-off payment for a life-long injury. ACC manages this process for accredited employers. The injured Kaimahi-staff lodges an application with Howden Care to start this process who will forward it on to ACC. </w:t>
      </w:r>
    </w:p>
    <w:p>
      <w:pPr>
        <w:pStyle w:val="5"/>
        <w:rPr>
          <w:rFonts w:asciiTheme="majorHAnsi" w:hAnsiTheme="majorHAnsi" w:cstheme="majorHAnsi"/>
        </w:rPr>
      </w:pPr>
      <w:r>
        <w:rPr>
          <w:rFonts w:asciiTheme="majorHAnsi" w:hAnsiTheme="majorHAnsi" w:cstheme="majorHAnsi"/>
          <w:lang w:eastAsia="en-GB"/>
        </w:rPr>
        <w:t>ACC will assess eligibility where the injury is likely to result in a permanent disability or impairment. This will generally be 24 months after the injury, and/or when the employee’s injury status is considered medically stable and unlikely to improve further. To qualify, the injured employee's total impairment must be assessed as greater than 10 percent.</w:t>
      </w:r>
    </w:p>
    <w:p>
      <w:pPr>
        <w:pStyle w:val="7"/>
        <w:rPr>
          <w:rFonts w:cstheme="majorHAnsi"/>
        </w:rPr>
      </w:pPr>
      <w:bookmarkStart w:id="333" w:name="_Toc755856471"/>
      <w:bookmarkStart w:id="334" w:name="_Toc90394274"/>
      <w:bookmarkStart w:id="335" w:name="_Toc430104246"/>
      <w:bookmarkStart w:id="336" w:name="_Toc101453886"/>
      <w:bookmarkStart w:id="337" w:name="_Toc999504845"/>
      <w:bookmarkStart w:id="338" w:name="_Toc90388369"/>
      <w:bookmarkStart w:id="339" w:name="_Toc101532353"/>
      <w:bookmarkStart w:id="340" w:name="_Toc1519438563"/>
      <w:r>
        <w:rPr>
          <w:rFonts w:cstheme="majorHAnsi"/>
        </w:rPr>
        <w:t>7.7</w:t>
      </w:r>
      <w:r>
        <w:rPr>
          <w:rFonts w:cstheme="majorHAnsi"/>
        </w:rPr>
        <w:tab/>
      </w:r>
      <w:r>
        <w:rPr>
          <w:rFonts w:cstheme="majorHAnsi"/>
        </w:rPr>
        <w:t>Accuracy of entitlements</w:t>
      </w:r>
      <w:bookmarkEnd w:id="333"/>
      <w:bookmarkEnd w:id="334"/>
      <w:bookmarkEnd w:id="335"/>
      <w:bookmarkEnd w:id="336"/>
      <w:bookmarkEnd w:id="337"/>
      <w:bookmarkEnd w:id="338"/>
      <w:bookmarkEnd w:id="339"/>
      <w:bookmarkEnd w:id="340"/>
    </w:p>
    <w:p>
      <w:pPr>
        <w:pStyle w:val="5"/>
        <w:rPr>
          <w:rFonts w:asciiTheme="majorHAnsi" w:hAnsiTheme="majorHAnsi" w:cstheme="majorHAnsi"/>
          <w:sz w:val="18"/>
        </w:rPr>
      </w:pPr>
      <w:r>
        <w:rPr>
          <w:rFonts w:asciiTheme="majorHAnsi" w:hAnsiTheme="majorHAnsi" w:cstheme="majorHAnsi"/>
          <w:lang w:eastAsia="en-GB"/>
        </w:rPr>
        <w:t>To ensure the accuracy of entitlement decisions a selection of claims will be reviewed, at least annually, to make sure decisions are correct and comply with the relevant legislation. The review will consider whether:</w:t>
      </w:r>
    </w:p>
    <w:p>
      <w:pPr>
        <w:pStyle w:val="292"/>
        <w:rPr>
          <w:rFonts w:asciiTheme="majorHAnsi" w:hAnsiTheme="majorHAnsi" w:cstheme="majorHAnsi"/>
        </w:rPr>
      </w:pPr>
      <w:r>
        <w:rPr>
          <w:rFonts w:asciiTheme="majorHAnsi" w:hAnsiTheme="majorHAnsi" w:cstheme="majorHAnsi"/>
        </w:rPr>
        <w:t>The entitlement is one that can be provided under the Act.</w:t>
      </w:r>
    </w:p>
    <w:p>
      <w:pPr>
        <w:pStyle w:val="292"/>
        <w:rPr>
          <w:rFonts w:asciiTheme="majorHAnsi" w:hAnsiTheme="majorHAnsi" w:cstheme="majorHAnsi"/>
        </w:rPr>
      </w:pPr>
      <w:r>
        <w:rPr>
          <w:rFonts w:asciiTheme="majorHAnsi" w:hAnsiTheme="majorHAnsi" w:cstheme="majorHAnsi"/>
        </w:rPr>
        <w:t>The entitlement has been assessed correctly.</w:t>
      </w:r>
    </w:p>
    <w:p>
      <w:pPr>
        <w:pStyle w:val="292"/>
        <w:rPr>
          <w:rFonts w:asciiTheme="majorHAnsi" w:hAnsiTheme="majorHAnsi" w:cstheme="majorHAnsi"/>
        </w:rPr>
      </w:pPr>
      <w:r>
        <w:rPr>
          <w:rFonts w:asciiTheme="majorHAnsi" w:hAnsiTheme="majorHAnsi" w:cstheme="majorHAnsi"/>
        </w:rPr>
        <w:t>Weekly compensation and abatement entitlements are calculated correctly.</w:t>
      </w:r>
    </w:p>
    <w:p>
      <w:pPr>
        <w:pStyle w:val="5"/>
        <w:rPr>
          <w:rFonts w:asciiTheme="majorHAnsi" w:hAnsiTheme="majorHAnsi" w:cstheme="majorHAnsi"/>
        </w:rPr>
      </w:pPr>
      <w:r>
        <w:rPr>
          <w:rFonts w:asciiTheme="majorHAnsi" w:hAnsiTheme="majorHAnsi" w:cstheme="majorHAnsi"/>
          <w:lang w:eastAsia="en-GB"/>
        </w:rPr>
        <w:t xml:space="preserve">The findings from these checks will be discussed at the regular meetings with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and Howden Care</w:t>
      </w:r>
      <w:r>
        <w:rPr>
          <w:rFonts w:asciiTheme="majorHAnsi" w:hAnsiTheme="majorHAnsi" w:cstheme="majorHAnsi"/>
        </w:rPr>
        <w:t xml:space="preserve"> and any necessary changes implemented as a result of these.</w:t>
      </w: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2"/>
        <w:rPr>
          <w:rFonts w:cstheme="majorHAnsi"/>
        </w:rPr>
      </w:pPr>
      <w:bookmarkStart w:id="341" w:name="_Toc1939445955"/>
      <w:bookmarkStart w:id="342" w:name="_Toc1512509927"/>
      <w:bookmarkStart w:id="343" w:name="_Toc101532354"/>
      <w:bookmarkStart w:id="344" w:name="_Toc90394275"/>
      <w:bookmarkStart w:id="345" w:name="_Toc154781514"/>
      <w:bookmarkStart w:id="346" w:name="_Toc90388370"/>
      <w:bookmarkStart w:id="347" w:name="_Toc101453887"/>
      <w:bookmarkStart w:id="348" w:name="_Toc807319643"/>
      <w:r>
        <w:rPr>
          <w:rFonts w:cstheme="majorHAnsi"/>
        </w:rPr>
        <w:t>REHABILITATION</w:t>
      </w:r>
      <w:bookmarkEnd w:id="341"/>
      <w:bookmarkEnd w:id="342"/>
      <w:bookmarkEnd w:id="343"/>
      <w:bookmarkEnd w:id="344"/>
      <w:bookmarkEnd w:id="345"/>
      <w:bookmarkEnd w:id="346"/>
      <w:bookmarkEnd w:id="347"/>
      <w:bookmarkEnd w:id="348"/>
    </w:p>
    <w:p>
      <w:pPr>
        <w:pStyle w:val="7"/>
        <w:rPr>
          <w:rFonts w:cstheme="majorHAnsi"/>
        </w:rPr>
      </w:pPr>
      <w:bookmarkStart w:id="349" w:name="_Toc754217411"/>
      <w:bookmarkStart w:id="350" w:name="_Toc1861607642"/>
      <w:bookmarkStart w:id="351" w:name="_Toc586654107"/>
      <w:bookmarkStart w:id="352" w:name="_Toc90394276"/>
      <w:bookmarkStart w:id="353" w:name="_Toc101453888"/>
      <w:bookmarkStart w:id="354" w:name="_Toc90388371"/>
      <w:bookmarkStart w:id="355" w:name="_Toc16328201"/>
      <w:bookmarkStart w:id="356" w:name="_Toc101532355"/>
      <w:r>
        <w:rPr>
          <w:rFonts w:cstheme="majorHAnsi"/>
        </w:rPr>
        <w:t>8.1</w:t>
      </w:r>
      <w:r>
        <w:rPr>
          <w:rFonts w:cstheme="majorHAnsi"/>
        </w:rPr>
        <w:tab/>
      </w:r>
      <w:r>
        <w:rPr>
          <w:rFonts w:cstheme="majorHAnsi"/>
        </w:rPr>
        <w:t>About rehabilitation</w:t>
      </w:r>
      <w:bookmarkEnd w:id="349"/>
      <w:bookmarkEnd w:id="350"/>
      <w:bookmarkEnd w:id="351"/>
      <w:bookmarkEnd w:id="352"/>
      <w:bookmarkEnd w:id="353"/>
      <w:bookmarkEnd w:id="354"/>
      <w:bookmarkEnd w:id="355"/>
      <w:bookmarkEnd w:id="356"/>
    </w:p>
    <w:p>
      <w:pPr>
        <w:pStyle w:val="5"/>
        <w:rPr>
          <w:rFonts w:asciiTheme="majorHAnsi" w:hAnsiTheme="majorHAnsi" w:cstheme="majorHAnsi"/>
          <w:lang w:eastAsia="en-GB"/>
        </w:rPr>
      </w:pPr>
      <w:r>
        <w:rPr>
          <w:rFonts w:asciiTheme="majorHAnsi" w:hAnsiTheme="majorHAnsi" w:cstheme="majorHAnsi"/>
          <w:lang w:eastAsia="en-GB"/>
        </w:rPr>
        <w:t>A fundamental principle of best practice rehabilitation management is that it should support the injured Kaimahi-staff to return to work safely and as soon as possible after their injury. Good work is good for you. There is clear evidence that the longer someone is away from the workplace, the longer they will take to recover, and the less likely they are to return to work successfully in any capacity. The best practice approach to rehabilitation management is that the person will recover faster and more sustainably if they maintain as much contact as possible with their usual workplace duties, routines and colleagues, in a safe and managed way.</w:t>
      </w:r>
    </w:p>
    <w:p>
      <w:pPr>
        <w:pStyle w:val="7"/>
        <w:rPr>
          <w:rFonts w:cstheme="majorHAnsi"/>
        </w:rPr>
      </w:pPr>
      <w:bookmarkStart w:id="357" w:name="_Toc90388372"/>
      <w:bookmarkStart w:id="358" w:name="_Toc90394277"/>
      <w:bookmarkStart w:id="359" w:name="_Toc980501367"/>
      <w:bookmarkStart w:id="360" w:name="_Toc2065377426"/>
      <w:bookmarkStart w:id="361" w:name="_Toc101453889"/>
      <w:bookmarkStart w:id="362" w:name="_Toc101532356"/>
      <w:bookmarkStart w:id="363" w:name="_Toc836970149"/>
      <w:bookmarkStart w:id="364" w:name="_Toc1394926087"/>
      <w:r>
        <w:rPr>
          <w:rFonts w:cstheme="majorHAnsi"/>
        </w:rPr>
        <w:t>8.2</w:t>
      </w:r>
      <w:r>
        <w:rPr>
          <w:rFonts w:cstheme="majorHAnsi"/>
        </w:rPr>
        <w:tab/>
      </w:r>
      <w:r>
        <w:rPr>
          <w:rFonts w:cstheme="majorHAnsi"/>
        </w:rPr>
        <w:t>Rehabilitation process</w:t>
      </w:r>
      <w:bookmarkEnd w:id="357"/>
      <w:bookmarkEnd w:id="358"/>
      <w:bookmarkEnd w:id="359"/>
      <w:bookmarkEnd w:id="360"/>
      <w:bookmarkEnd w:id="361"/>
      <w:bookmarkEnd w:id="362"/>
      <w:bookmarkEnd w:id="363"/>
      <w:bookmarkEnd w:id="364"/>
    </w:p>
    <w:p>
      <w:pPr>
        <w:pStyle w:val="292"/>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with Howden Care aim to help injured employees recover fully and return to work through appropriate assessment, planning, implementation and monitoring of rehabilitation services. </w:t>
      </w:r>
    </w:p>
    <w:p>
      <w:pPr>
        <w:pStyle w:val="5"/>
      </w:pPr>
      <w:r>
        <w:t>This requires:</w:t>
      </w:r>
    </w:p>
    <w:p>
      <w:pPr>
        <w:pStyle w:val="292"/>
        <w:rPr>
          <w:rFonts w:asciiTheme="majorHAnsi" w:hAnsiTheme="majorHAnsi" w:cstheme="majorHAnsi"/>
        </w:rPr>
      </w:pPr>
      <w:r>
        <w:rPr>
          <w:rFonts w:asciiTheme="majorHAnsi" w:hAnsiTheme="majorHAnsi" w:cstheme="majorHAnsi"/>
        </w:rPr>
        <w:t xml:space="preserve">Liaising with medical practitioners and other treatment providers about diagnosis, prognosis, treatment, incapacity and guidelines and recommendations for rehabilitation support </w:t>
      </w:r>
    </w:p>
    <w:p>
      <w:pPr>
        <w:pStyle w:val="292"/>
        <w:rPr>
          <w:rFonts w:asciiTheme="majorHAnsi" w:hAnsiTheme="majorHAnsi" w:cstheme="majorHAnsi"/>
        </w:rPr>
      </w:pPr>
      <w:r>
        <w:rPr>
          <w:rFonts w:asciiTheme="majorHAnsi" w:hAnsiTheme="majorHAnsi" w:cstheme="majorHAnsi"/>
        </w:rPr>
        <w:t>Ensuring all stakeholders, including the injured employee, are able to contribute to the rehabilitation process.</w:t>
      </w:r>
    </w:p>
    <w:p>
      <w:pPr>
        <w:pStyle w:val="292"/>
        <w:rPr>
          <w:rFonts w:asciiTheme="majorHAnsi" w:hAnsiTheme="majorHAnsi" w:cstheme="majorHAnsi"/>
        </w:rPr>
      </w:pPr>
      <w:r>
        <w:rPr>
          <w:rFonts w:asciiTheme="majorHAnsi" w:hAnsiTheme="majorHAnsi" w:cstheme="majorHAnsi"/>
        </w:rPr>
        <w:t>Co-ordinating meetings or case conferences with all appropriate parties, e.g., Injured person, GP, managers, support person, union/Kaimahi-staff representatives, etc.</w:t>
      </w:r>
    </w:p>
    <w:p>
      <w:pPr>
        <w:pStyle w:val="292"/>
        <w:rPr>
          <w:rFonts w:asciiTheme="majorHAnsi" w:hAnsiTheme="majorHAnsi" w:cstheme="majorHAnsi"/>
        </w:rPr>
      </w:pPr>
      <w:r>
        <w:rPr>
          <w:rFonts w:asciiTheme="majorHAnsi" w:hAnsiTheme="majorHAnsi" w:cstheme="majorHAnsi"/>
        </w:rPr>
        <w:t>Discussing and documenting agreed, time-specific, cost-effective and outcome focused individual plans for rehabilitation and return to work.</w:t>
      </w:r>
    </w:p>
    <w:p>
      <w:pPr>
        <w:pStyle w:val="292"/>
        <w:rPr>
          <w:rFonts w:asciiTheme="majorHAnsi" w:hAnsiTheme="majorHAnsi" w:cstheme="majorHAnsi"/>
        </w:rPr>
      </w:pPr>
      <w:r>
        <w:rPr>
          <w:rFonts w:asciiTheme="majorHAnsi" w:hAnsiTheme="majorHAnsi" w:cstheme="majorHAnsi"/>
        </w:rPr>
        <w:t>Monitoring rehabilitation and return-to-work programmes to ensure they are achieving the right outcomes.</w:t>
      </w:r>
    </w:p>
    <w:p>
      <w:pPr>
        <w:pStyle w:val="292"/>
        <w:rPr>
          <w:rFonts w:asciiTheme="majorHAnsi" w:hAnsiTheme="majorHAnsi" w:cstheme="majorHAnsi"/>
        </w:rPr>
      </w:pPr>
      <w:r>
        <w:rPr>
          <w:rFonts w:asciiTheme="majorHAnsi" w:hAnsiTheme="majorHAnsi" w:cstheme="majorHAnsi"/>
        </w:rPr>
        <w:t>Monitoring work environments to ensure they are compatible with any medical guidelines or restrictions.</w:t>
      </w:r>
    </w:p>
    <w:p>
      <w:pPr>
        <w:pStyle w:val="292"/>
        <w:rPr>
          <w:rFonts w:asciiTheme="majorHAnsi" w:hAnsiTheme="majorHAnsi" w:cstheme="majorHAnsi"/>
        </w:rPr>
      </w:pPr>
      <w:r>
        <w:rPr>
          <w:rFonts w:asciiTheme="majorHAnsi" w:hAnsiTheme="majorHAnsi" w:cstheme="majorHAnsi"/>
        </w:rPr>
        <w:t>Proactively assessing for issues that could impact recovery and rehabilitation and putting strategies in place to manage these.</w:t>
      </w:r>
    </w:p>
    <w:p>
      <w:pPr>
        <w:pStyle w:val="5"/>
        <w:rPr>
          <w:rFonts w:asciiTheme="majorHAnsi" w:hAnsiTheme="majorHAnsi" w:cstheme="majorHAnsi"/>
        </w:rPr>
      </w:pPr>
      <w:r>
        <w:rPr>
          <w:rFonts w:asciiTheme="majorHAnsi" w:hAnsiTheme="majorHAnsi" w:cstheme="majorHAnsi"/>
          <w:lang w:eastAsia="en-GB"/>
        </w:rPr>
        <w:t>Vocational rehabilitation will be provided in accordance with the relevant sections of the Act. We will base rehabilitation on the employee’s assessed needs, focusing on returning them to their pre-injury role.</w:t>
      </w:r>
    </w:p>
    <w:p>
      <w:pPr>
        <w:pStyle w:val="5"/>
        <w:rPr>
          <w:rFonts w:asciiTheme="majorHAnsi" w:hAnsiTheme="majorHAnsi" w:cstheme="majorHAnsi"/>
        </w:rPr>
      </w:pPr>
      <w:r>
        <w:rPr>
          <w:rFonts w:asciiTheme="majorHAnsi" w:hAnsiTheme="majorHAnsi" w:cstheme="majorHAnsi"/>
          <w:lang w:eastAsia="en-GB"/>
        </w:rPr>
        <w:t xml:space="preserve">If returning the pre-injury role with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is not possible then consideration is given to:</w:t>
      </w:r>
    </w:p>
    <w:p>
      <w:pPr>
        <w:pStyle w:val="292"/>
        <w:rPr>
          <w:rFonts w:asciiTheme="majorHAnsi" w:hAnsiTheme="majorHAnsi" w:cstheme="majorHAnsi"/>
        </w:rPr>
      </w:pPr>
      <w:r>
        <w:rPr>
          <w:rFonts w:asciiTheme="majorHAnsi" w:hAnsiTheme="majorHAnsi" w:cstheme="majorHAnsi"/>
        </w:rPr>
        <w:t>Same employer, different job</w:t>
      </w:r>
    </w:p>
    <w:p>
      <w:pPr>
        <w:pStyle w:val="292"/>
        <w:rPr>
          <w:rFonts w:asciiTheme="majorHAnsi" w:hAnsiTheme="majorHAnsi" w:cstheme="majorHAnsi"/>
        </w:rPr>
      </w:pPr>
      <w:r>
        <w:rPr>
          <w:rFonts w:asciiTheme="majorHAnsi" w:hAnsiTheme="majorHAnsi" w:cstheme="majorHAnsi"/>
        </w:rPr>
        <w:t>Different job, same employer</w:t>
      </w:r>
    </w:p>
    <w:p>
      <w:pPr>
        <w:pStyle w:val="292"/>
        <w:rPr>
          <w:rFonts w:asciiTheme="majorHAnsi" w:hAnsiTheme="majorHAnsi" w:cstheme="majorHAnsi"/>
        </w:rPr>
      </w:pPr>
      <w:r>
        <w:rPr>
          <w:rFonts w:asciiTheme="majorHAnsi" w:hAnsiTheme="majorHAnsi" w:cstheme="majorHAnsi"/>
        </w:rPr>
        <w:t>Different employer, same job</w:t>
      </w:r>
    </w:p>
    <w:p>
      <w:pPr>
        <w:pStyle w:val="292"/>
        <w:rPr>
          <w:rFonts w:asciiTheme="majorHAnsi" w:hAnsiTheme="majorHAnsi" w:cstheme="majorHAnsi"/>
        </w:rPr>
      </w:pPr>
      <w:r>
        <w:rPr>
          <w:rFonts w:asciiTheme="majorHAnsi" w:hAnsiTheme="majorHAnsi" w:cstheme="majorHAnsi"/>
        </w:rPr>
        <w:t>Different employer, different job</w:t>
      </w:r>
    </w:p>
    <w:p>
      <w:pPr>
        <w:pStyle w:val="7"/>
        <w:rPr>
          <w:rFonts w:cstheme="majorHAnsi"/>
        </w:rPr>
      </w:pPr>
      <w:bookmarkStart w:id="365" w:name="_Toc90388373"/>
      <w:bookmarkStart w:id="366" w:name="_Toc1116401070"/>
      <w:bookmarkStart w:id="367" w:name="_Toc101453890"/>
      <w:bookmarkStart w:id="368" w:name="_Toc974657071"/>
      <w:bookmarkStart w:id="369" w:name="_Toc90394278"/>
      <w:bookmarkStart w:id="370" w:name="_Toc569844281"/>
      <w:bookmarkStart w:id="371" w:name="_Toc928482565"/>
      <w:bookmarkStart w:id="372" w:name="_Toc101532357"/>
      <w:r>
        <w:rPr>
          <w:rFonts w:cstheme="majorHAnsi"/>
        </w:rPr>
        <w:t>8.3</w:t>
      </w:r>
      <w:r>
        <w:rPr>
          <w:rFonts w:cstheme="majorHAnsi"/>
        </w:rPr>
        <w:tab/>
      </w:r>
      <w:r>
        <w:rPr>
          <w:rFonts w:cstheme="majorHAnsi"/>
        </w:rPr>
        <w:t>Rehabilitation plan</w:t>
      </w:r>
      <w:bookmarkEnd w:id="365"/>
      <w:bookmarkEnd w:id="366"/>
      <w:bookmarkEnd w:id="367"/>
      <w:bookmarkEnd w:id="368"/>
      <w:bookmarkEnd w:id="369"/>
      <w:bookmarkEnd w:id="370"/>
      <w:bookmarkEnd w:id="371"/>
      <w:bookmarkEnd w:id="372"/>
    </w:p>
    <w:p>
      <w:pPr>
        <w:pStyle w:val="5"/>
        <w:rPr>
          <w:rFonts w:asciiTheme="majorHAnsi" w:hAnsiTheme="majorHAnsi" w:cstheme="majorHAnsi"/>
        </w:rPr>
      </w:pPr>
      <w:r>
        <w:rPr>
          <w:rFonts w:asciiTheme="majorHAnsi" w:hAnsiTheme="majorHAnsi" w:cstheme="majorHAnsi"/>
        </w:rPr>
        <w:t>Rehabilitation plans document the agreed steps in the rehabilitation process. A Rehabilitation Plan will be developed:</w:t>
      </w:r>
    </w:p>
    <w:p>
      <w:pPr>
        <w:pStyle w:val="292"/>
        <w:rPr>
          <w:rFonts w:asciiTheme="majorHAnsi" w:hAnsiTheme="majorHAnsi" w:cstheme="majorHAnsi"/>
        </w:rPr>
      </w:pPr>
      <w:r>
        <w:rPr>
          <w:rFonts w:asciiTheme="majorHAnsi" w:hAnsiTheme="majorHAnsi" w:cstheme="majorHAnsi"/>
        </w:rPr>
        <w:t>Within 7days of a claim being accepted for cover where there is ongoing incapacity from their role, this may be where a person is fully unfit for work or fit for selected duties. There should be no gap between the Action Plan and the development of the Rehabilitation Plan</w:t>
      </w:r>
    </w:p>
    <w:p>
      <w:pPr>
        <w:pStyle w:val="292"/>
        <w:rPr>
          <w:rFonts w:asciiTheme="majorHAnsi" w:hAnsiTheme="majorHAnsi" w:cstheme="majorHAnsi"/>
        </w:rPr>
      </w:pPr>
      <w:r>
        <w:rPr>
          <w:rFonts w:asciiTheme="majorHAnsi" w:hAnsiTheme="majorHAnsi" w:cstheme="majorHAnsi"/>
        </w:rPr>
        <w:t xml:space="preserve">With new incapacity and before known periods of incapacity such as planned surgery. </w:t>
      </w:r>
    </w:p>
    <w:p>
      <w:pPr>
        <w:pStyle w:val="5"/>
      </w:pPr>
      <w:r>
        <w:t>Rehabilitation plans will include the following information:</w:t>
      </w:r>
    </w:p>
    <w:p>
      <w:pPr>
        <w:pStyle w:val="292"/>
        <w:rPr>
          <w:rFonts w:asciiTheme="majorHAnsi" w:hAnsiTheme="majorHAnsi" w:cstheme="majorHAnsi"/>
        </w:rPr>
      </w:pPr>
      <w:r>
        <w:rPr>
          <w:rFonts w:asciiTheme="majorHAnsi" w:hAnsiTheme="majorHAnsi" w:cstheme="majorHAnsi"/>
        </w:rPr>
        <w:t>The rehabilitation goal, outcomes and expected timeframes.</w:t>
      </w:r>
    </w:p>
    <w:p>
      <w:pPr>
        <w:pStyle w:val="292"/>
        <w:rPr>
          <w:rFonts w:asciiTheme="majorHAnsi" w:hAnsiTheme="majorHAnsi" w:cstheme="majorHAnsi"/>
        </w:rPr>
      </w:pPr>
      <w:r>
        <w:rPr>
          <w:rFonts w:asciiTheme="majorHAnsi" w:hAnsiTheme="majorHAnsi" w:cstheme="majorHAnsi"/>
        </w:rPr>
        <w:t>Actions agreed with the injured Kaimahi-staff and other stakeholders to help them to return to normal activities in a safe and timely manner.</w:t>
      </w:r>
    </w:p>
    <w:p>
      <w:pPr>
        <w:pStyle w:val="292"/>
        <w:rPr>
          <w:rFonts w:asciiTheme="majorHAnsi" w:hAnsiTheme="majorHAnsi" w:cstheme="majorHAnsi"/>
        </w:rPr>
      </w:pPr>
      <w:r>
        <w:rPr>
          <w:rFonts w:asciiTheme="majorHAnsi" w:hAnsiTheme="majorHAnsi" w:cstheme="majorHAnsi"/>
        </w:rPr>
        <w:t>Interventions required to achieve the agreed objectives and outcomes.</w:t>
      </w:r>
    </w:p>
    <w:p>
      <w:pPr>
        <w:pStyle w:val="292"/>
        <w:rPr>
          <w:rFonts w:asciiTheme="majorHAnsi" w:hAnsiTheme="majorHAnsi" w:cstheme="majorHAnsi"/>
        </w:rPr>
      </w:pPr>
      <w:r>
        <w:rPr>
          <w:rFonts w:asciiTheme="majorHAnsi" w:hAnsiTheme="majorHAnsi" w:cstheme="majorHAnsi"/>
        </w:rPr>
        <w:t>Who is responsible for ensuring the interventions occur within the agreed timeframes.</w:t>
      </w:r>
    </w:p>
    <w:p>
      <w:pPr>
        <w:pStyle w:val="292"/>
        <w:rPr>
          <w:rFonts w:asciiTheme="majorHAnsi" w:hAnsiTheme="majorHAnsi" w:cstheme="majorHAnsi"/>
        </w:rPr>
      </w:pPr>
      <w:r>
        <w:rPr>
          <w:rFonts w:asciiTheme="majorHAnsi" w:hAnsiTheme="majorHAnsi" w:cstheme="majorHAnsi"/>
        </w:rPr>
        <w:t xml:space="preserve">On-going monitoring of progress against objectives and goals </w:t>
      </w:r>
    </w:p>
    <w:p>
      <w:pPr>
        <w:pStyle w:val="292"/>
        <w:numPr>
          <w:ilvl w:val="0"/>
          <w:numId w:val="0"/>
        </w:numPr>
        <w:ind w:left="792"/>
        <w:rPr>
          <w:rFonts w:asciiTheme="majorHAnsi" w:hAnsiTheme="majorHAnsi" w:cstheme="majorHAnsi"/>
        </w:rPr>
      </w:pPr>
    </w:p>
    <w:p>
      <w:pPr>
        <w:pStyle w:val="7"/>
        <w:rPr>
          <w:rFonts w:cstheme="majorHAnsi"/>
        </w:rPr>
      </w:pPr>
      <w:bookmarkStart w:id="373" w:name="_Toc160815420"/>
      <w:bookmarkStart w:id="374" w:name="_Toc1912157858"/>
      <w:bookmarkStart w:id="375" w:name="_Toc101453891"/>
      <w:bookmarkStart w:id="376" w:name="_Toc90394279"/>
      <w:bookmarkStart w:id="377" w:name="_Toc101532358"/>
      <w:bookmarkStart w:id="378" w:name="_Toc1310497367"/>
      <w:bookmarkStart w:id="379" w:name="_Toc1638283988"/>
      <w:bookmarkStart w:id="380" w:name="_Toc90388374"/>
      <w:r>
        <w:rPr>
          <w:rFonts w:cstheme="majorHAnsi"/>
        </w:rPr>
        <w:t>8.4</w:t>
      </w:r>
      <w:r>
        <w:rPr>
          <w:rFonts w:cstheme="majorHAnsi"/>
        </w:rPr>
        <w:tab/>
      </w:r>
      <w:r>
        <w:rPr>
          <w:rFonts w:cstheme="majorHAnsi"/>
        </w:rPr>
        <w:t>Developing the Rehabilitation Plan</w:t>
      </w:r>
      <w:bookmarkEnd w:id="373"/>
      <w:bookmarkEnd w:id="374"/>
      <w:bookmarkEnd w:id="375"/>
      <w:bookmarkEnd w:id="376"/>
      <w:bookmarkEnd w:id="377"/>
      <w:bookmarkEnd w:id="378"/>
      <w:bookmarkEnd w:id="379"/>
      <w:bookmarkEnd w:id="380"/>
    </w:p>
    <w:p>
      <w:pPr>
        <w:pStyle w:val="5"/>
        <w:rPr>
          <w:rFonts w:asciiTheme="majorHAnsi" w:hAnsiTheme="majorHAnsi" w:cstheme="majorHAnsi"/>
          <w:lang w:eastAsia="en-GB"/>
        </w:rPr>
      </w:pPr>
      <w:r>
        <w:rPr>
          <w:rFonts w:asciiTheme="majorHAnsi" w:hAnsiTheme="majorHAnsi" w:cstheme="majorHAnsi"/>
          <w:lang w:eastAsia="en-GB"/>
        </w:rPr>
        <w:t>The Case Manager will take the following steps to develop the rehabilitation plan:</w:t>
      </w:r>
    </w:p>
    <w:p>
      <w:pPr>
        <w:pStyle w:val="292"/>
        <w:rPr>
          <w:rFonts w:asciiTheme="majorHAnsi" w:hAnsiTheme="majorHAnsi" w:cstheme="majorHAnsi"/>
        </w:rPr>
      </w:pPr>
      <w:r>
        <w:rPr>
          <w:rFonts w:asciiTheme="majorHAnsi" w:hAnsiTheme="majorHAnsi" w:cstheme="majorHAnsi"/>
        </w:rPr>
        <w:t xml:space="preserve">Advise the injured employee: </w:t>
      </w:r>
    </w:p>
    <w:p>
      <w:pPr>
        <w:pStyle w:val="292"/>
        <w:numPr>
          <w:ilvl w:val="1"/>
          <w:numId w:val="16"/>
        </w:numPr>
        <w:ind w:left="1134"/>
        <w:rPr>
          <w:rFonts w:asciiTheme="majorHAnsi" w:hAnsiTheme="majorHAnsi" w:cstheme="majorHAnsi"/>
          <w:lang w:eastAsia="en-GB"/>
        </w:rPr>
      </w:pPr>
      <w:r>
        <w:rPr>
          <w:rFonts w:asciiTheme="majorHAnsi" w:hAnsiTheme="majorHAnsi" w:cstheme="majorHAnsi"/>
          <w:lang w:eastAsia="en-GB"/>
        </w:rPr>
        <w:t>that a rehabilitation plan will be developed</w:t>
      </w:r>
    </w:p>
    <w:p>
      <w:pPr>
        <w:pStyle w:val="292"/>
        <w:numPr>
          <w:ilvl w:val="1"/>
          <w:numId w:val="16"/>
        </w:numPr>
        <w:ind w:left="1134"/>
        <w:rPr>
          <w:rFonts w:asciiTheme="majorHAnsi" w:hAnsiTheme="majorHAnsi" w:cstheme="majorHAnsi"/>
          <w:lang w:eastAsia="en-GB"/>
        </w:rPr>
      </w:pPr>
      <w:r>
        <w:rPr>
          <w:rFonts w:asciiTheme="majorHAnsi" w:hAnsiTheme="majorHAnsi" w:cstheme="majorHAnsi"/>
          <w:lang w:eastAsia="en-GB"/>
        </w:rPr>
        <w:t xml:space="preserve">how and why we are doing this. </w:t>
      </w:r>
    </w:p>
    <w:p>
      <w:pPr>
        <w:pStyle w:val="292"/>
        <w:numPr>
          <w:ilvl w:val="1"/>
          <w:numId w:val="16"/>
        </w:numPr>
        <w:ind w:left="1134"/>
        <w:rPr>
          <w:rFonts w:asciiTheme="majorHAnsi" w:hAnsiTheme="majorHAnsi" w:cstheme="majorHAnsi"/>
          <w:lang w:eastAsia="en-GB"/>
        </w:rPr>
      </w:pPr>
      <w:r>
        <w:rPr>
          <w:rFonts w:asciiTheme="majorHAnsi" w:hAnsiTheme="majorHAnsi" w:cstheme="majorHAnsi"/>
          <w:lang w:eastAsia="en-GB"/>
        </w:rPr>
        <w:t>they have the right to a support person at all meetings.</w:t>
      </w:r>
    </w:p>
    <w:p>
      <w:pPr>
        <w:pStyle w:val="292"/>
        <w:rPr>
          <w:rFonts w:asciiTheme="majorHAnsi" w:hAnsiTheme="majorHAnsi" w:cstheme="majorHAnsi"/>
        </w:rPr>
      </w:pPr>
      <w:r>
        <w:rPr>
          <w:rFonts w:asciiTheme="majorHAnsi" w:hAnsiTheme="majorHAnsi" w:cstheme="majorHAnsi"/>
        </w:rPr>
        <w:t>Arrange a rehabilitation meeting, with the injured employee, their manager, support person (as requested by the employee) and other key stakeholders as appropriate, e.g., occupational therapist. The meeting can take place face to face, over the telephone or by video conference.</w:t>
      </w:r>
    </w:p>
    <w:p>
      <w:pPr>
        <w:pStyle w:val="5"/>
        <w:rPr>
          <w:rFonts w:asciiTheme="majorHAnsi" w:hAnsiTheme="majorHAnsi" w:cstheme="majorHAnsi"/>
          <w:lang w:eastAsia="en-GB"/>
        </w:rPr>
      </w:pPr>
      <w:r>
        <w:rPr>
          <w:rFonts w:asciiTheme="majorHAnsi" w:hAnsiTheme="majorHAnsi" w:cstheme="majorHAnsi"/>
          <w:lang w:eastAsia="en-GB"/>
        </w:rPr>
        <w:t>At the meeting work through the rehabilitation plan together to discuss, agree and document the following:</w:t>
      </w:r>
    </w:p>
    <w:p>
      <w:pPr>
        <w:pStyle w:val="292"/>
        <w:rPr>
          <w:rFonts w:asciiTheme="majorHAnsi" w:hAnsiTheme="majorHAnsi" w:cstheme="majorHAnsi"/>
        </w:rPr>
      </w:pPr>
      <w:r>
        <w:rPr>
          <w:rFonts w:asciiTheme="majorHAnsi" w:hAnsiTheme="majorHAnsi" w:cstheme="majorHAnsi"/>
        </w:rPr>
        <w:t>The rehabilitation goal, outcomes and expected timeframes.</w:t>
      </w:r>
    </w:p>
    <w:p>
      <w:pPr>
        <w:pStyle w:val="292"/>
        <w:rPr>
          <w:rFonts w:asciiTheme="majorHAnsi" w:hAnsiTheme="majorHAnsi" w:cstheme="majorHAnsi"/>
        </w:rPr>
      </w:pPr>
      <w:r>
        <w:rPr>
          <w:rFonts w:asciiTheme="majorHAnsi" w:hAnsiTheme="majorHAnsi" w:cstheme="majorHAnsi"/>
        </w:rPr>
        <w:t>Actions and responsibilities to help the injured person to return to normal activities as soon as practicable</w:t>
      </w:r>
    </w:p>
    <w:p>
      <w:pPr>
        <w:pStyle w:val="292"/>
        <w:rPr>
          <w:rFonts w:asciiTheme="majorHAnsi" w:hAnsiTheme="majorHAnsi" w:cstheme="majorHAnsi"/>
        </w:rPr>
      </w:pPr>
      <w:r>
        <w:rPr>
          <w:rFonts w:asciiTheme="majorHAnsi" w:hAnsiTheme="majorHAnsi" w:cstheme="majorHAnsi"/>
        </w:rPr>
        <w:t>Date of next review</w:t>
      </w:r>
    </w:p>
    <w:p>
      <w:pPr>
        <w:pStyle w:val="292"/>
        <w:rPr>
          <w:rFonts w:asciiTheme="majorHAnsi" w:hAnsiTheme="majorHAnsi" w:cstheme="majorHAnsi"/>
        </w:rPr>
      </w:pPr>
      <w:r>
        <w:rPr>
          <w:rFonts w:asciiTheme="majorHAnsi" w:hAnsiTheme="majorHAnsi" w:cstheme="majorHAnsi"/>
        </w:rPr>
        <w:t>Who will be completing the weekly monitoring</w:t>
      </w:r>
    </w:p>
    <w:p>
      <w:pPr>
        <w:pStyle w:val="5"/>
        <w:rPr>
          <w:rFonts w:asciiTheme="majorHAnsi" w:hAnsiTheme="majorHAnsi" w:cstheme="majorHAnsi"/>
          <w:lang w:eastAsia="en-GB"/>
        </w:rPr>
      </w:pPr>
      <w:r>
        <w:rPr>
          <w:rFonts w:asciiTheme="majorHAnsi" w:hAnsiTheme="majorHAnsi" w:cstheme="majorHAnsi"/>
          <w:lang w:eastAsia="en-GB"/>
        </w:rPr>
        <w:t>The following people should sign the plan:</w:t>
      </w:r>
    </w:p>
    <w:p>
      <w:pPr>
        <w:pStyle w:val="292"/>
        <w:rPr>
          <w:rFonts w:asciiTheme="majorHAnsi" w:hAnsiTheme="majorHAnsi" w:cstheme="majorHAnsi"/>
        </w:rPr>
      </w:pPr>
      <w:r>
        <w:rPr>
          <w:rFonts w:asciiTheme="majorHAnsi" w:hAnsiTheme="majorHAnsi" w:cstheme="majorHAnsi"/>
        </w:rPr>
        <w:t>The injured employee</w:t>
      </w:r>
    </w:p>
    <w:p>
      <w:pPr>
        <w:pStyle w:val="292"/>
        <w:rPr>
          <w:rFonts w:asciiTheme="majorHAnsi" w:hAnsiTheme="majorHAnsi" w:cstheme="majorHAnsi"/>
        </w:rPr>
      </w:pPr>
      <w:r>
        <w:rPr>
          <w:rFonts w:asciiTheme="majorHAnsi" w:hAnsiTheme="majorHAnsi" w:cstheme="majorHAnsi"/>
        </w:rPr>
        <w:t>The manager</w:t>
      </w:r>
    </w:p>
    <w:p>
      <w:pPr>
        <w:pStyle w:val="292"/>
        <w:rPr>
          <w:rFonts w:asciiTheme="majorHAnsi" w:hAnsiTheme="majorHAnsi" w:cstheme="majorHAnsi"/>
        </w:rPr>
      </w:pPr>
      <w:r>
        <w:rPr>
          <w:rFonts w:asciiTheme="majorHAnsi" w:hAnsiTheme="majorHAnsi" w:cstheme="majorHAnsi"/>
        </w:rPr>
        <w:t>The Case Manager</w:t>
      </w:r>
    </w:p>
    <w:p>
      <w:pPr>
        <w:pStyle w:val="5"/>
        <w:rPr>
          <w:rFonts w:asciiTheme="majorHAnsi" w:hAnsiTheme="majorHAnsi" w:cstheme="majorHAnsi"/>
          <w:lang w:eastAsia="en-GB"/>
        </w:rPr>
      </w:pPr>
      <w:r>
        <w:rPr>
          <w:rFonts w:asciiTheme="majorHAnsi" w:hAnsiTheme="majorHAnsi" w:cstheme="majorHAnsi"/>
          <w:lang w:eastAsia="en-GB"/>
        </w:rPr>
        <w:t>All reasonable steps will be taken to get the plan signed by the injured employee, however if the plan is not signed it can be deemed as accepted by the Case Manager and a copy provided to all parties.</w:t>
      </w:r>
    </w:p>
    <w:p>
      <w:pPr>
        <w:pStyle w:val="7"/>
        <w:rPr>
          <w:rFonts w:cstheme="majorHAnsi"/>
        </w:rPr>
      </w:pPr>
      <w:bookmarkStart w:id="381" w:name="_Toc90394280"/>
      <w:bookmarkStart w:id="382" w:name="_Toc793501631"/>
      <w:bookmarkStart w:id="383" w:name="_Toc475067902"/>
      <w:bookmarkStart w:id="384" w:name="_Toc101532359"/>
      <w:bookmarkStart w:id="385" w:name="_Toc101453892"/>
      <w:bookmarkStart w:id="386" w:name="_Toc827848971"/>
      <w:bookmarkStart w:id="387" w:name="_Toc1407397694"/>
      <w:bookmarkStart w:id="388" w:name="_Toc90388375"/>
      <w:r>
        <w:rPr>
          <w:rFonts w:cstheme="majorHAnsi"/>
        </w:rPr>
        <w:t>8.5</w:t>
      </w:r>
      <w:r>
        <w:rPr>
          <w:rFonts w:cstheme="majorHAnsi"/>
        </w:rPr>
        <w:tab/>
      </w:r>
      <w:r>
        <w:rPr>
          <w:rFonts w:cstheme="majorHAnsi"/>
        </w:rPr>
        <w:t>Monitoring and review of rehabilitation</w:t>
      </w:r>
      <w:bookmarkEnd w:id="381"/>
      <w:bookmarkEnd w:id="382"/>
      <w:bookmarkEnd w:id="383"/>
      <w:bookmarkEnd w:id="384"/>
      <w:bookmarkEnd w:id="385"/>
      <w:bookmarkEnd w:id="386"/>
      <w:bookmarkEnd w:id="387"/>
      <w:bookmarkEnd w:id="388"/>
    </w:p>
    <w:p>
      <w:pPr>
        <w:pStyle w:val="5"/>
      </w:pPr>
      <w:r>
        <w:t>The rehabilitation plan and return to work progress will be monitored regularly to:</w:t>
      </w:r>
    </w:p>
    <w:p>
      <w:pPr>
        <w:pStyle w:val="292"/>
        <w:rPr>
          <w:rFonts w:asciiTheme="majorHAnsi" w:hAnsiTheme="majorHAnsi" w:cstheme="majorHAnsi"/>
        </w:rPr>
      </w:pPr>
      <w:r>
        <w:rPr>
          <w:rFonts w:asciiTheme="majorHAnsi" w:hAnsiTheme="majorHAnsi" w:cstheme="majorHAnsi"/>
        </w:rPr>
        <w:t>Check that the rehabilitation is going to plan.</w:t>
      </w:r>
    </w:p>
    <w:p>
      <w:pPr>
        <w:pStyle w:val="292"/>
        <w:rPr>
          <w:rFonts w:asciiTheme="majorHAnsi" w:hAnsiTheme="majorHAnsi" w:cstheme="majorHAnsi"/>
        </w:rPr>
      </w:pPr>
      <w:r>
        <w:rPr>
          <w:rFonts w:asciiTheme="majorHAnsi" w:hAnsiTheme="majorHAnsi" w:cstheme="majorHAnsi"/>
        </w:rPr>
        <w:t>Determine if there are any barriers to the plan progress.</w:t>
      </w:r>
    </w:p>
    <w:p>
      <w:pPr>
        <w:pStyle w:val="292"/>
        <w:rPr>
          <w:rFonts w:asciiTheme="majorHAnsi" w:hAnsiTheme="majorHAnsi" w:cstheme="majorHAnsi"/>
        </w:rPr>
      </w:pPr>
      <w:r>
        <w:rPr>
          <w:rFonts w:asciiTheme="majorHAnsi" w:hAnsiTheme="majorHAnsi" w:cstheme="majorHAnsi"/>
        </w:rPr>
        <w:t>Assess any further needs or interventions.</w:t>
      </w:r>
    </w:p>
    <w:tbl>
      <w:tblPr>
        <w:tblStyle w:val="115"/>
        <w:tblW w:w="0" w:type="auto"/>
        <w:tblInd w:w="-5"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autofit"/>
        <w:tblCellMar>
          <w:top w:w="0" w:type="dxa"/>
          <w:left w:w="108" w:type="dxa"/>
          <w:bottom w:w="0" w:type="dxa"/>
          <w:right w:w="108" w:type="dxa"/>
        </w:tblCellMar>
      </w:tblPr>
      <w:tblGrid>
        <w:gridCol w:w="3178"/>
        <w:gridCol w:w="6465"/>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178" w:type="dxa"/>
            <w:tcBorders>
              <w:top w:val="single" w:color="152C46" w:themeColor="text1" w:sz="4" w:space="0"/>
              <w:bottom w:val="single" w:color="152C46" w:themeColor="text1" w:sz="4" w:space="0"/>
            </w:tcBorders>
            <w:shd w:val="clear" w:color="auto" w:fill="152C46" w:themeFill="text1"/>
          </w:tcPr>
          <w:p>
            <w:pPr>
              <w:pStyle w:val="5"/>
              <w:spacing w:before="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When</w:t>
            </w:r>
          </w:p>
        </w:tc>
        <w:tc>
          <w:tcPr>
            <w:tcW w:w="6465" w:type="dxa"/>
            <w:tcBorders>
              <w:top w:val="single" w:color="152C46" w:themeColor="text1" w:sz="4" w:space="0"/>
              <w:bottom w:val="single" w:color="152C46" w:themeColor="text1" w:sz="4" w:space="0"/>
            </w:tcBorders>
            <w:shd w:val="clear" w:color="auto" w:fill="152C46" w:themeFill="text1"/>
          </w:tcPr>
          <w:p>
            <w:pPr>
              <w:pStyle w:val="5"/>
              <w:spacing w:before="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Type of monitoring/review</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178" w:type="dxa"/>
            <w:tcBorders>
              <w:top w:val="single" w:color="152C46" w:themeColor="text1" w:sz="4" w:space="0"/>
            </w:tcBorders>
            <w:shd w:val="clear" w:color="auto" w:fill="F1F1F1" w:themeFill="background1" w:themeFillShade="F2"/>
          </w:tcPr>
          <w:p>
            <w:pPr>
              <w:pStyle w:val="5"/>
              <w:spacing w:before="120" w:line="240" w:lineRule="auto"/>
              <w:rPr>
                <w:rFonts w:asciiTheme="majorHAnsi" w:hAnsiTheme="majorHAnsi" w:cstheme="majorHAnsi"/>
                <w:b/>
              </w:rPr>
            </w:pPr>
            <w:r>
              <w:rPr>
                <w:rFonts w:asciiTheme="majorHAnsi" w:hAnsiTheme="majorHAnsi" w:cstheme="majorHAnsi"/>
                <w:b/>
              </w:rPr>
              <w:t xml:space="preserve">Weekly </w:t>
            </w:r>
          </w:p>
        </w:tc>
        <w:tc>
          <w:tcPr>
            <w:tcW w:w="6465" w:type="dxa"/>
            <w:tcBorders>
              <w:top w:val="single" w:color="152C46" w:themeColor="text1" w:sz="4" w:space="0"/>
            </w:tcBorders>
            <w:shd w:val="clear" w:color="auto" w:fill="FFFFFF" w:themeFill="background1"/>
          </w:tcPr>
          <w:p>
            <w:pPr>
              <w:pStyle w:val="5"/>
              <w:spacing w:before="120" w:line="240" w:lineRule="auto"/>
              <w:rPr>
                <w:rFonts w:asciiTheme="majorHAnsi" w:hAnsiTheme="majorHAnsi" w:cstheme="majorHAnsi"/>
              </w:rPr>
            </w:pPr>
            <w:r>
              <w:rPr>
                <w:rFonts w:asciiTheme="majorHAnsi" w:hAnsiTheme="majorHAnsi" w:cstheme="majorHAnsi"/>
              </w:rPr>
              <w:t>OHN checks in with the injured person and completes the weekly monitoring form documenting progress. The Line Manager will be advised of any issues.</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178" w:type="dxa"/>
            <w:shd w:val="clear" w:color="auto" w:fill="F1F1F1" w:themeFill="background1" w:themeFillShade="F2"/>
          </w:tcPr>
          <w:p>
            <w:pPr>
              <w:pStyle w:val="5"/>
              <w:spacing w:before="120" w:line="240" w:lineRule="auto"/>
              <w:rPr>
                <w:rFonts w:asciiTheme="majorHAnsi" w:hAnsiTheme="majorHAnsi" w:cstheme="majorHAnsi"/>
                <w:b/>
              </w:rPr>
            </w:pPr>
            <w:r>
              <w:rPr>
                <w:rFonts w:asciiTheme="majorHAnsi" w:hAnsiTheme="majorHAnsi" w:cstheme="majorHAnsi"/>
                <w:b/>
              </w:rPr>
              <w:t xml:space="preserve">Monthly </w:t>
            </w:r>
          </w:p>
        </w:tc>
        <w:tc>
          <w:tcPr>
            <w:tcW w:w="6465" w:type="dxa"/>
            <w:shd w:val="clear" w:color="auto" w:fill="FFFFFF" w:themeFill="background1"/>
          </w:tcPr>
          <w:p>
            <w:pPr>
              <w:pStyle w:val="5"/>
              <w:spacing w:before="120" w:line="240" w:lineRule="auto"/>
              <w:rPr>
                <w:rFonts w:asciiTheme="majorHAnsi" w:hAnsiTheme="majorHAnsi" w:cstheme="majorHAnsi"/>
              </w:rPr>
            </w:pPr>
            <w:r>
              <w:rPr>
                <w:rFonts w:asciiTheme="majorHAnsi" w:hAnsiTheme="majorHAnsi" w:cstheme="majorHAnsi"/>
              </w:rPr>
              <w:t>The Case Manager and employer will review the progress of all claims. The Case Manager will document any actions needed.</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178" w:type="dxa"/>
            <w:shd w:val="clear" w:color="auto" w:fill="F1F1F1" w:themeFill="background1" w:themeFillShade="F2"/>
          </w:tcPr>
          <w:p>
            <w:pPr>
              <w:pStyle w:val="5"/>
              <w:spacing w:before="120" w:line="240" w:lineRule="auto"/>
              <w:rPr>
                <w:rFonts w:asciiTheme="majorHAnsi" w:hAnsiTheme="majorHAnsi" w:cstheme="majorHAnsi"/>
                <w:b/>
              </w:rPr>
            </w:pPr>
            <w:r>
              <w:rPr>
                <w:rFonts w:asciiTheme="majorHAnsi" w:hAnsiTheme="majorHAnsi" w:cstheme="majorHAnsi"/>
                <w:b/>
              </w:rPr>
              <w:t>At the end of the agreed interventions</w:t>
            </w:r>
          </w:p>
          <w:p>
            <w:pPr>
              <w:pStyle w:val="5"/>
              <w:spacing w:before="120" w:line="240" w:lineRule="auto"/>
              <w:rPr>
                <w:rFonts w:asciiTheme="majorHAnsi" w:hAnsiTheme="majorHAnsi" w:cstheme="majorHAnsi"/>
                <w:b/>
              </w:rPr>
            </w:pPr>
            <w:r>
              <w:rPr>
                <w:rFonts w:asciiTheme="majorHAnsi" w:hAnsiTheme="majorHAnsi" w:cstheme="majorHAnsi"/>
                <w:b/>
              </w:rPr>
              <w:t>If further rehabilitation needs are identified</w:t>
            </w:r>
          </w:p>
          <w:p>
            <w:pPr>
              <w:pStyle w:val="5"/>
              <w:spacing w:before="120" w:line="240" w:lineRule="auto"/>
              <w:rPr>
                <w:rFonts w:asciiTheme="majorHAnsi" w:hAnsiTheme="majorHAnsi" w:cstheme="majorHAnsi"/>
                <w:b/>
              </w:rPr>
            </w:pPr>
            <w:r>
              <w:rPr>
                <w:rFonts w:asciiTheme="majorHAnsi" w:hAnsiTheme="majorHAnsi" w:cstheme="majorHAnsi"/>
                <w:b/>
              </w:rPr>
              <w:t>At the end of milestones</w:t>
            </w:r>
          </w:p>
          <w:p>
            <w:pPr>
              <w:pStyle w:val="5"/>
              <w:spacing w:before="120" w:line="240" w:lineRule="auto"/>
              <w:rPr>
                <w:rFonts w:asciiTheme="majorHAnsi" w:hAnsiTheme="majorHAnsi" w:cstheme="majorHAnsi"/>
                <w:b/>
              </w:rPr>
            </w:pPr>
          </w:p>
        </w:tc>
        <w:tc>
          <w:tcPr>
            <w:tcW w:w="6465" w:type="dxa"/>
            <w:shd w:val="clear" w:color="auto" w:fill="FFFFFF" w:themeFill="background1"/>
          </w:tcPr>
          <w:p>
            <w:pPr>
              <w:pStyle w:val="5"/>
              <w:spacing w:before="120" w:line="240" w:lineRule="auto"/>
              <w:rPr>
                <w:rFonts w:asciiTheme="majorHAnsi" w:hAnsiTheme="majorHAnsi" w:cstheme="majorHAnsi"/>
              </w:rPr>
            </w:pPr>
            <w:r>
              <w:rPr>
                <w:rFonts w:asciiTheme="majorHAnsi" w:hAnsiTheme="majorHAnsi" w:cstheme="majorHAnsi"/>
              </w:rPr>
              <w:t>A review of progress which may involve consulting with:</w:t>
            </w:r>
          </w:p>
          <w:p>
            <w:pPr>
              <w:pStyle w:val="72"/>
              <w:spacing w:line="240" w:lineRule="auto"/>
            </w:pPr>
            <w:r>
              <w:t>the injured employee</w:t>
            </w:r>
          </w:p>
          <w:p>
            <w:pPr>
              <w:pStyle w:val="72"/>
              <w:spacing w:line="240" w:lineRule="auto"/>
            </w:pPr>
            <w:r>
              <w:t>their support person/union representative</w:t>
            </w:r>
          </w:p>
          <w:p>
            <w:pPr>
              <w:pStyle w:val="72"/>
              <w:spacing w:line="240" w:lineRule="auto"/>
            </w:pPr>
            <w:r>
              <w:t>the manager</w:t>
            </w:r>
          </w:p>
          <w:p>
            <w:pPr>
              <w:pStyle w:val="72"/>
              <w:spacing w:line="240" w:lineRule="auto"/>
            </w:pPr>
            <w:r>
              <w:t>treatment providers, as needed.</w:t>
            </w:r>
          </w:p>
          <w:p>
            <w:pPr>
              <w:pStyle w:val="72"/>
              <w:spacing w:line="240" w:lineRule="auto"/>
              <w:rPr>
                <w:szCs w:val="22"/>
              </w:rPr>
            </w:pPr>
            <w:r>
              <w:rPr>
                <w:szCs w:val="22"/>
              </w:rPr>
              <w:t>Outcomes and actions will be documented on the rehabilitation plan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178" w:type="dxa"/>
            <w:shd w:val="clear" w:color="auto" w:fill="F1F1F1" w:themeFill="background1" w:themeFillShade="F2"/>
          </w:tcPr>
          <w:p>
            <w:pPr>
              <w:pStyle w:val="5"/>
              <w:spacing w:before="120" w:line="240" w:lineRule="auto"/>
              <w:rPr>
                <w:rFonts w:asciiTheme="majorHAnsi" w:hAnsiTheme="majorHAnsi" w:cstheme="majorHAnsi"/>
                <w:b/>
                <w:color w:val="002060"/>
                <w:szCs w:val="22"/>
              </w:rPr>
            </w:pPr>
            <w:r>
              <w:rPr>
                <w:rFonts w:asciiTheme="majorHAnsi" w:hAnsiTheme="majorHAnsi" w:cstheme="majorHAnsi"/>
                <w:b/>
                <w:szCs w:val="22"/>
              </w:rPr>
              <w:t>If there are concerns about lack of progress</w:t>
            </w:r>
          </w:p>
        </w:tc>
        <w:tc>
          <w:tcPr>
            <w:tcW w:w="6465" w:type="dxa"/>
            <w:shd w:val="clear" w:color="auto" w:fill="FFFFFF" w:themeFill="background1"/>
          </w:tcPr>
          <w:p>
            <w:pPr>
              <w:pStyle w:val="5"/>
              <w:spacing w:before="120" w:line="240" w:lineRule="auto"/>
              <w:rPr>
                <w:rFonts w:asciiTheme="majorHAnsi" w:hAnsiTheme="majorHAnsi" w:cstheme="majorHAnsi"/>
              </w:rPr>
            </w:pPr>
            <w:r>
              <w:rPr>
                <w:rFonts w:asciiTheme="majorHAnsi" w:hAnsiTheme="majorHAnsi" w:cstheme="majorHAnsi"/>
              </w:rPr>
              <w:t>Where there are concerns about lack of progress, the claimant may be referred to the University of Otago Occupational Physician, or Howden Care for review. This panel is made up of internal rehabilitation experts. The Panel will provide advice to the Case Manager and employer about the next actions.</w:t>
            </w:r>
          </w:p>
        </w:tc>
      </w:tr>
    </w:tbl>
    <w:p>
      <w:pPr>
        <w:rPr>
          <w:rFonts w:asciiTheme="majorHAnsi" w:hAnsiTheme="majorHAnsi" w:cstheme="majorHAnsi"/>
          <w:sz w:val="22"/>
          <w:szCs w:val="22"/>
        </w:rPr>
      </w:pPr>
    </w:p>
    <w:p>
      <w:pPr>
        <w:pStyle w:val="7"/>
        <w:rPr>
          <w:rFonts w:cstheme="majorHAnsi"/>
        </w:rPr>
      </w:pPr>
      <w:bookmarkStart w:id="389" w:name="_Toc101453893"/>
      <w:bookmarkStart w:id="390" w:name="_Toc90388376"/>
      <w:bookmarkStart w:id="391" w:name="_Toc90394281"/>
      <w:bookmarkStart w:id="392" w:name="_Toc101532360"/>
      <w:bookmarkStart w:id="393" w:name="_Toc643326901"/>
      <w:bookmarkStart w:id="394" w:name="_Toc1905866045"/>
      <w:bookmarkStart w:id="395" w:name="_Toc1347716121"/>
      <w:bookmarkStart w:id="396" w:name="_Toc510160365"/>
      <w:r>
        <w:rPr>
          <w:rFonts w:cstheme="majorHAnsi"/>
        </w:rPr>
        <w:t>8.6</w:t>
      </w:r>
      <w:r>
        <w:rPr>
          <w:rFonts w:cstheme="majorHAnsi"/>
        </w:rPr>
        <w:tab/>
      </w:r>
      <w:r>
        <w:rPr>
          <w:rFonts w:cstheme="majorHAnsi"/>
        </w:rPr>
        <w:t>Non progressive rehabilitation</w:t>
      </w:r>
      <w:bookmarkEnd w:id="389"/>
      <w:bookmarkEnd w:id="390"/>
      <w:bookmarkEnd w:id="391"/>
      <w:bookmarkEnd w:id="392"/>
      <w:r>
        <w:rPr>
          <w:rFonts w:cstheme="majorHAnsi"/>
        </w:rPr>
        <w:t xml:space="preserve"> </w:t>
      </w:r>
      <w:bookmarkEnd w:id="393"/>
      <w:bookmarkEnd w:id="394"/>
      <w:bookmarkEnd w:id="395"/>
      <w:bookmarkEnd w:id="396"/>
    </w:p>
    <w:p>
      <w:pPr>
        <w:pStyle w:val="5"/>
        <w:rPr>
          <w:rFonts w:asciiTheme="majorHAnsi" w:hAnsiTheme="majorHAnsi" w:cstheme="majorHAnsi"/>
          <w:lang w:eastAsia="en-GB"/>
        </w:rPr>
      </w:pPr>
      <w:r>
        <w:rPr>
          <w:rFonts w:asciiTheme="majorHAnsi" w:hAnsiTheme="majorHAnsi" w:cstheme="majorHAnsi"/>
          <w:lang w:eastAsia="en-GB"/>
        </w:rPr>
        <w:t>A claim is non-progressive if it:</w:t>
      </w:r>
    </w:p>
    <w:p>
      <w:pPr>
        <w:pStyle w:val="292"/>
        <w:rPr>
          <w:rFonts w:asciiTheme="majorHAnsi" w:hAnsiTheme="majorHAnsi" w:cstheme="majorHAnsi"/>
        </w:rPr>
      </w:pPr>
      <w:r>
        <w:rPr>
          <w:rFonts w:asciiTheme="majorHAnsi" w:hAnsiTheme="majorHAnsi" w:cstheme="majorHAnsi"/>
        </w:rPr>
        <w:t>Continues beyond the expected recovery time</w:t>
      </w:r>
    </w:p>
    <w:p>
      <w:pPr>
        <w:pStyle w:val="292"/>
        <w:rPr>
          <w:rFonts w:asciiTheme="majorHAnsi" w:hAnsiTheme="majorHAnsi" w:cstheme="majorHAnsi"/>
        </w:rPr>
      </w:pPr>
      <w:r>
        <w:rPr>
          <w:rFonts w:asciiTheme="majorHAnsi" w:hAnsiTheme="majorHAnsi" w:cstheme="majorHAnsi"/>
        </w:rPr>
        <w:t>Is not meeting rehabilitation objectives</w:t>
      </w:r>
    </w:p>
    <w:p>
      <w:pPr>
        <w:pStyle w:val="292"/>
        <w:rPr>
          <w:rFonts w:asciiTheme="majorHAnsi" w:hAnsiTheme="majorHAnsi" w:cstheme="majorHAnsi"/>
        </w:rPr>
      </w:pPr>
      <w:r>
        <w:rPr>
          <w:rFonts w:asciiTheme="majorHAnsi" w:hAnsiTheme="majorHAnsi" w:cstheme="majorHAnsi"/>
        </w:rPr>
        <w:t>Is slow to achieve expected milestones</w:t>
      </w:r>
    </w:p>
    <w:p>
      <w:pPr>
        <w:pStyle w:val="5"/>
        <w:rPr>
          <w:rFonts w:asciiTheme="majorHAnsi" w:hAnsiTheme="majorHAnsi" w:cstheme="majorHAnsi"/>
          <w:sz w:val="18"/>
        </w:rPr>
      </w:pPr>
      <w:r>
        <w:rPr>
          <w:rFonts w:asciiTheme="majorHAnsi" w:hAnsiTheme="majorHAnsi" w:cstheme="majorHAnsi"/>
          <w:lang w:eastAsia="en-GB"/>
        </w:rPr>
        <w:t xml:space="preserve">We identify non-progressive claims through the regular monitoring outlined above. If concerns are identified a case management meeting will be held to assess rehabilitation progress and provide recommendations regarding the next steps. </w:t>
      </w:r>
      <w:r>
        <w:rPr>
          <w:rFonts w:asciiTheme="majorHAnsi" w:hAnsiTheme="majorHAnsi" w:cstheme="majorHAnsi"/>
        </w:rPr>
        <w:t xml:space="preserve">This panel is made up of internal rehabilitation experts. </w:t>
      </w:r>
      <w:r>
        <w:rPr>
          <w:rFonts w:asciiTheme="majorHAnsi" w:hAnsiTheme="majorHAnsi" w:cstheme="majorHAnsi"/>
          <w:lang w:eastAsia="en-GB"/>
        </w:rPr>
        <w:t>They may consider:</w:t>
      </w:r>
    </w:p>
    <w:p>
      <w:pPr>
        <w:pStyle w:val="292"/>
        <w:rPr>
          <w:rFonts w:asciiTheme="majorHAnsi" w:hAnsiTheme="majorHAnsi" w:cstheme="majorHAnsi"/>
        </w:rPr>
      </w:pPr>
      <w:r>
        <w:rPr>
          <w:rFonts w:asciiTheme="majorHAnsi" w:hAnsiTheme="majorHAnsi" w:cstheme="majorHAnsi"/>
        </w:rPr>
        <w:t>Current medical, social and vocational activity</w:t>
      </w:r>
    </w:p>
    <w:p>
      <w:pPr>
        <w:pStyle w:val="292"/>
        <w:rPr>
          <w:rFonts w:asciiTheme="majorHAnsi" w:hAnsiTheme="majorHAnsi" w:cstheme="majorHAnsi"/>
        </w:rPr>
      </w:pPr>
      <w:r>
        <w:rPr>
          <w:rFonts w:asciiTheme="majorHAnsi" w:hAnsiTheme="majorHAnsi" w:cstheme="majorHAnsi"/>
        </w:rPr>
        <w:t>Barriers to rehabilitation such as the impact of psychosocial issues, non-compliance, non-injury related medical condition</w:t>
      </w:r>
    </w:p>
    <w:p>
      <w:pPr>
        <w:pStyle w:val="292"/>
        <w:rPr>
          <w:rFonts w:asciiTheme="majorHAnsi" w:hAnsiTheme="majorHAnsi" w:cstheme="majorHAnsi"/>
        </w:rPr>
      </w:pPr>
      <w:r>
        <w:rPr>
          <w:rFonts w:asciiTheme="majorHAnsi" w:hAnsiTheme="majorHAnsi" w:cstheme="majorHAnsi"/>
        </w:rPr>
        <w:t>Need for further support or treatment to help achieve agreed outcomes</w:t>
      </w:r>
    </w:p>
    <w:p>
      <w:pPr>
        <w:pStyle w:val="292"/>
        <w:rPr>
          <w:rFonts w:asciiTheme="majorHAnsi" w:hAnsiTheme="majorHAnsi" w:cstheme="majorHAnsi"/>
        </w:rPr>
      </w:pPr>
      <w:r>
        <w:rPr>
          <w:rFonts w:asciiTheme="majorHAnsi" w:hAnsiTheme="majorHAnsi" w:cstheme="majorHAnsi"/>
        </w:rPr>
        <w:t>Need for further assessment or referral to help achieve agreed outcomes</w:t>
      </w:r>
    </w:p>
    <w:p>
      <w:pPr>
        <w:pStyle w:val="292"/>
        <w:rPr>
          <w:rFonts w:asciiTheme="majorHAnsi" w:hAnsiTheme="majorHAnsi" w:cstheme="majorHAnsi"/>
        </w:rPr>
      </w:pPr>
      <w:r>
        <w:rPr>
          <w:rFonts w:asciiTheme="majorHAnsi" w:hAnsiTheme="majorHAnsi" w:cstheme="majorHAnsi"/>
        </w:rPr>
        <w:t>Referral for a formal medical review to assess the injured employee's recovery and ongoing work fitness</w:t>
      </w:r>
    </w:p>
    <w:p>
      <w:pPr>
        <w:pStyle w:val="292"/>
        <w:rPr>
          <w:rFonts w:asciiTheme="majorHAnsi" w:hAnsiTheme="majorHAnsi" w:cstheme="majorHAnsi"/>
        </w:rPr>
      </w:pPr>
      <w:r>
        <w:rPr>
          <w:rFonts w:asciiTheme="majorHAnsi" w:hAnsiTheme="majorHAnsi" w:cstheme="majorHAnsi"/>
        </w:rPr>
        <w:t>Referral for vocational independence assessment</w:t>
      </w:r>
    </w:p>
    <w:p>
      <w:pPr>
        <w:pStyle w:val="5"/>
        <w:rPr>
          <w:rFonts w:asciiTheme="majorHAnsi" w:hAnsiTheme="majorHAnsi" w:cstheme="majorHAnsi"/>
        </w:rPr>
      </w:pPr>
      <w:r>
        <w:rPr>
          <w:rFonts w:asciiTheme="majorHAnsi" w:hAnsiTheme="majorHAnsi" w:cstheme="majorHAnsi"/>
        </w:rPr>
        <w:t>If an Kaimahi-staff seems unlikely to return to work in their pre accident role, the Case Manager will:</w:t>
      </w:r>
    </w:p>
    <w:p>
      <w:pPr>
        <w:pStyle w:val="292"/>
        <w:rPr>
          <w:rFonts w:asciiTheme="majorHAnsi" w:hAnsiTheme="majorHAnsi" w:cstheme="majorHAnsi"/>
        </w:rPr>
      </w:pPr>
      <w:r>
        <w:rPr>
          <w:rFonts w:asciiTheme="majorHAnsi" w:hAnsiTheme="majorHAnsi" w:cstheme="majorHAnsi"/>
        </w:rPr>
        <w:t>Discuss the situation, process and timeframes with the Kaimahi-staff and support person</w:t>
      </w:r>
    </w:p>
    <w:p>
      <w:pPr>
        <w:pStyle w:val="292"/>
        <w:rPr>
          <w:rFonts w:asciiTheme="majorHAnsi" w:hAnsiTheme="majorHAnsi" w:cstheme="majorHAnsi"/>
        </w:rPr>
      </w:pPr>
      <w:r>
        <w:rPr>
          <w:rFonts w:asciiTheme="majorHAnsi" w:hAnsiTheme="majorHAnsi" w:cstheme="majorHAnsi"/>
        </w:rPr>
        <w:t>Document the discussion and decision in the rehabilitation plan, the plan should be signed by the injured employee, the employer and the Case Manager. All reasonable steps will be taken to get the plan signed by the injured employee, however if the plan is not signed the plan can be deemed as accepted by the Case Manager</w:t>
      </w:r>
    </w:p>
    <w:p>
      <w:pPr>
        <w:pStyle w:val="5"/>
        <w:rPr>
          <w:rFonts w:asciiTheme="majorHAnsi" w:hAnsiTheme="majorHAnsi" w:cstheme="majorHAnsi"/>
        </w:rPr>
      </w:pPr>
      <w:r>
        <w:rPr>
          <w:rFonts w:asciiTheme="majorHAnsi" w:hAnsiTheme="majorHAnsi" w:cstheme="majorHAnsi"/>
        </w:rPr>
        <w:br w:type="page"/>
      </w:r>
    </w:p>
    <w:p>
      <w:pPr>
        <w:pStyle w:val="2"/>
        <w:rPr>
          <w:rFonts w:cstheme="majorHAnsi"/>
        </w:rPr>
      </w:pPr>
      <w:bookmarkStart w:id="397" w:name="_Toc90388377"/>
      <w:bookmarkStart w:id="398" w:name="_Toc1447672204"/>
      <w:bookmarkStart w:id="399" w:name="_Toc90394282"/>
      <w:bookmarkStart w:id="400" w:name="_Toc340995331"/>
      <w:bookmarkStart w:id="401" w:name="_Toc101532361"/>
      <w:bookmarkStart w:id="402" w:name="_Toc101453894"/>
      <w:bookmarkStart w:id="403" w:name="_Toc110232233"/>
      <w:bookmarkStart w:id="404" w:name="_Toc380123914"/>
      <w:r>
        <w:rPr>
          <w:rFonts w:cstheme="majorHAnsi"/>
        </w:rPr>
        <w:t>Vocational Independence</w:t>
      </w:r>
      <w:bookmarkEnd w:id="397"/>
      <w:bookmarkEnd w:id="398"/>
      <w:bookmarkEnd w:id="399"/>
      <w:bookmarkEnd w:id="400"/>
      <w:bookmarkEnd w:id="401"/>
      <w:bookmarkEnd w:id="402"/>
      <w:bookmarkEnd w:id="403"/>
      <w:bookmarkEnd w:id="404"/>
    </w:p>
    <w:p>
      <w:pPr>
        <w:pStyle w:val="5"/>
        <w:rPr>
          <w:rFonts w:asciiTheme="majorHAnsi" w:hAnsiTheme="majorHAnsi" w:cstheme="majorHAnsi"/>
          <w:lang w:eastAsia="en-GB"/>
        </w:rPr>
      </w:pPr>
      <w:r>
        <w:rPr>
          <w:rFonts w:asciiTheme="majorHAnsi" w:hAnsiTheme="majorHAnsi" w:cstheme="majorHAnsi"/>
          <w:lang w:eastAsia="en-GB"/>
        </w:rPr>
        <w:t>If an Kaimahi-staff can’t return to their pre-injury tasks because of their injury, the following process will be discussed with them and the vocational independence process initiated. This process follows the steps below:</w:t>
      </w:r>
    </w:p>
    <w:tbl>
      <w:tblPr>
        <w:tblStyle w:val="115"/>
        <w:tblW w:w="0" w:type="auto"/>
        <w:tblInd w:w="0"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autofit"/>
        <w:tblCellMar>
          <w:top w:w="0" w:type="dxa"/>
          <w:left w:w="108" w:type="dxa"/>
          <w:bottom w:w="0" w:type="dxa"/>
          <w:right w:w="108" w:type="dxa"/>
        </w:tblCellMar>
      </w:tblPr>
      <w:tblGrid>
        <w:gridCol w:w="3686"/>
        <w:gridCol w:w="5942"/>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686"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Step</w:t>
            </w:r>
          </w:p>
        </w:tc>
        <w:tc>
          <w:tcPr>
            <w:tcW w:w="5942"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Description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686" w:type="dxa"/>
            <w:tcBorders>
              <w:top w:val="single" w:color="152C46" w:themeColor="text1" w:sz="4" w:space="0"/>
            </w:tcBorders>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Initial Occupational Assessment</w:t>
            </w:r>
          </w:p>
        </w:tc>
        <w:tc>
          <w:tcPr>
            <w:tcW w:w="5942" w:type="dxa"/>
            <w:tcBorders>
              <w:top w:val="single" w:color="152C46" w:themeColor="text1" w:sz="4" w:space="0"/>
            </w:tcBorders>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Identifies a range of occupations according to the employee’s education, skills and training.</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68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Initial Medical Assessment</w:t>
            </w:r>
          </w:p>
        </w:tc>
        <w:tc>
          <w:tcPr>
            <w:tcW w:w="5942"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Establishes whether the employee’s injuries will stop them from doing the occupations identified and any rehabilitation interventions needed.</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68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Interventions</w:t>
            </w:r>
          </w:p>
        </w:tc>
        <w:tc>
          <w:tcPr>
            <w:tcW w:w="5942"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Style w:val="362"/>
                <w:rFonts w:asciiTheme="majorHAnsi" w:hAnsiTheme="majorHAnsi" w:cstheme="majorHAnsi"/>
                <w:color w:val="152C46" w:themeColor="text1"/>
                <w:sz w:val="20"/>
                <w:szCs w:val="20"/>
                <w14:textFill>
                  <w14:solidFill>
                    <w14:schemeClr w14:val="tx1"/>
                  </w14:solidFill>
                </w14:textFill>
              </w:rPr>
              <w:t>Recommended rehabilitation interventions from the assessments will be provided. The intent is to restore capability, not to enhance skill level.</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3686"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Vocational Independence Assessments</w:t>
            </w:r>
          </w:p>
        </w:tc>
        <w:tc>
          <w:tcPr>
            <w:tcW w:w="5942" w:type="dxa"/>
            <w:shd w:val="clear" w:color="auto" w:fill="FFFFFF" w:themeFill="background1"/>
          </w:tcPr>
          <w:p>
            <w:pPr>
              <w:spacing w:before="120" w:after="120" w:line="240" w:lineRule="auto"/>
              <w:rPr>
                <w:rStyle w:val="362"/>
                <w:rFonts w:asciiTheme="majorHAnsi" w:hAnsiTheme="majorHAnsi" w:cstheme="majorHAnsi"/>
                <w:color w:val="152C46" w:themeColor="text1"/>
                <w:sz w:val="20"/>
                <w:szCs w:val="20"/>
                <w14:textFill>
                  <w14:solidFill>
                    <w14:schemeClr w14:val="tx1"/>
                  </w14:solidFill>
                </w14:textFill>
              </w:rPr>
            </w:pPr>
            <w:r>
              <w:rPr>
                <w:rStyle w:val="362"/>
                <w:rFonts w:asciiTheme="majorHAnsi" w:hAnsiTheme="majorHAnsi" w:cstheme="majorHAnsi"/>
                <w:color w:val="152C46" w:themeColor="text1"/>
                <w:sz w:val="20"/>
                <w:szCs w:val="20"/>
                <w14:textFill>
                  <w14:solidFill>
                    <w14:schemeClr w14:val="tx1"/>
                  </w14:solidFill>
                </w14:textFill>
              </w:rPr>
              <w:t>Following the completion of vocational rehabilitation, independent assessors will carry out further occupational and medical assessments in accordance with the legislation.</w:t>
            </w:r>
          </w:p>
          <w:p>
            <w:pPr>
              <w:spacing w:before="120" w:after="120" w:line="240" w:lineRule="auto"/>
              <w:rPr>
                <w:rStyle w:val="362"/>
                <w:rFonts w:asciiTheme="majorHAnsi" w:hAnsiTheme="majorHAnsi" w:cstheme="majorHAnsi"/>
                <w:color w:val="152C46" w:themeColor="text1"/>
                <w:sz w:val="20"/>
                <w:szCs w:val="20"/>
                <w14:textFill>
                  <w14:solidFill>
                    <w14:schemeClr w14:val="tx1"/>
                  </w14:solidFill>
                </w14:textFill>
              </w:rPr>
            </w:pPr>
            <w:r>
              <w:rPr>
                <w:rStyle w:val="362"/>
                <w:rFonts w:asciiTheme="majorHAnsi" w:hAnsiTheme="majorHAnsi" w:cstheme="majorHAnsi"/>
                <w:color w:val="152C46" w:themeColor="text1"/>
                <w:sz w:val="20"/>
                <w:szCs w:val="20"/>
                <w14:textFill>
                  <w14:solidFill>
                    <w14:schemeClr w14:val="tx1"/>
                  </w14:solidFill>
                </w14:textFill>
              </w:rPr>
              <w:t xml:space="preserve">If the assessments show that the injured Kaimahi-staff is able to work 30 hours a week or more in the occupation/s identified, the Kaimahi-staff will be entitled to weekly compensation for three more months from the date of notification, after which their weekly compensation entitlement will end. This will be discussed with the injured employee, and they will be notified in writing and their right to a review explained. Abatement will apply to any earnings the Kaimahi-staff receives during this process. </w:t>
            </w:r>
          </w:p>
        </w:tc>
      </w:tr>
    </w:tbl>
    <w:p>
      <w:pPr>
        <w:pStyle w:val="5"/>
        <w:rPr>
          <w:rFonts w:asciiTheme="majorHAnsi" w:hAnsiTheme="majorHAnsi" w:cstheme="majorHAnsi"/>
        </w:rPr>
      </w:pPr>
      <w:bookmarkStart w:id="405" w:name="_Toc1324029686"/>
      <w:bookmarkStart w:id="406" w:name="_Toc1198950821"/>
      <w:bookmarkStart w:id="407" w:name="_Toc797118858"/>
      <w:bookmarkStart w:id="408" w:name="_Toc90394283"/>
      <w:bookmarkStart w:id="409" w:name="_Toc90388378"/>
      <w:bookmarkStart w:id="410" w:name="_Toc990752842"/>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2"/>
        <w:rPr>
          <w:rFonts w:cstheme="majorHAnsi"/>
        </w:rPr>
      </w:pPr>
      <w:bookmarkStart w:id="411" w:name="_Toc101532362"/>
      <w:bookmarkStart w:id="412" w:name="_Toc101453895"/>
      <w:r>
        <w:rPr>
          <w:rFonts w:cstheme="majorHAnsi"/>
        </w:rPr>
        <w:t>COMPLAINTS AND REVIEWS</w:t>
      </w:r>
      <w:bookmarkEnd w:id="405"/>
      <w:bookmarkEnd w:id="406"/>
      <w:bookmarkEnd w:id="407"/>
      <w:bookmarkEnd w:id="408"/>
      <w:bookmarkEnd w:id="409"/>
      <w:bookmarkEnd w:id="410"/>
      <w:bookmarkEnd w:id="411"/>
      <w:bookmarkEnd w:id="412"/>
    </w:p>
    <w:p>
      <w:pPr>
        <w:pStyle w:val="7"/>
      </w:pPr>
      <w:bookmarkStart w:id="413" w:name="_Toc101453896"/>
      <w:bookmarkStart w:id="414" w:name="_Toc101532363"/>
      <w:bookmarkStart w:id="415" w:name="_Toc90394284"/>
      <w:bookmarkStart w:id="416" w:name="_Toc90388379"/>
      <w:bookmarkStart w:id="417" w:name="_Toc1235666950"/>
      <w:bookmarkStart w:id="418" w:name="_Toc717477919"/>
      <w:bookmarkStart w:id="419" w:name="_Toc1367879449"/>
      <w:bookmarkStart w:id="420" w:name="_Toc1657084556"/>
      <w:r>
        <w:t>10.1</w:t>
      </w:r>
      <w:r>
        <w:tab/>
      </w:r>
      <w:r>
        <w:t>Introduction</w:t>
      </w:r>
      <w:bookmarkEnd w:id="413"/>
      <w:bookmarkEnd w:id="414"/>
      <w:bookmarkEnd w:id="415"/>
      <w:bookmarkEnd w:id="416"/>
      <w:r>
        <w:t xml:space="preserve"> </w:t>
      </w:r>
      <w:bookmarkEnd w:id="417"/>
      <w:bookmarkEnd w:id="418"/>
      <w:bookmarkEnd w:id="419"/>
      <w:bookmarkEnd w:id="420"/>
    </w:p>
    <w:p>
      <w:pPr>
        <w:pStyle w:val="5"/>
        <w:rPr>
          <w:rFonts w:asciiTheme="majorHAnsi" w:hAnsiTheme="majorHAnsi" w:cstheme="majorHAnsi"/>
          <w:lang w:eastAsia="en-GB"/>
        </w:rPr>
      </w:pPr>
      <w:r>
        <w:rPr>
          <w:rFonts w:asciiTheme="majorHAnsi" w:hAnsiTheme="majorHAnsi" w:cstheme="majorHAnsi"/>
          <w:lang w:eastAsia="en-GB"/>
        </w:rPr>
        <w:t>There are two types of disputes:</w:t>
      </w:r>
    </w:p>
    <w:p>
      <w:pPr>
        <w:pStyle w:val="292"/>
        <w:rPr>
          <w:rFonts w:asciiTheme="majorHAnsi" w:hAnsiTheme="majorHAnsi" w:cstheme="majorHAnsi"/>
        </w:rPr>
      </w:pPr>
      <w:r>
        <w:rPr>
          <w:rFonts w:asciiTheme="majorHAnsi" w:hAnsiTheme="majorHAnsi" w:cstheme="majorHAnsi"/>
        </w:rPr>
        <w:t xml:space="preserve">The injured employees have the right to complain about </w:t>
      </w:r>
      <w:r>
        <w:rPr>
          <w:rFonts w:ascii="Arial" w:hAnsi="Arial" w:cstheme="majorHAnsi"/>
          <w:color w:val="auto"/>
        </w:rPr>
        <w:t>University of Otago</w:t>
      </w:r>
      <w:r>
        <w:rPr>
          <w:rFonts w:asciiTheme="majorHAnsi" w:hAnsiTheme="majorHAnsi" w:cstheme="majorHAnsi"/>
        </w:rPr>
        <w:t xml:space="preserve">/Howden Care’s services or if they believe their rights have been breached. For more information, see the </w:t>
      </w:r>
      <w:r>
        <w:fldChar w:fldCharType="begin"/>
      </w:r>
      <w:r>
        <w:instrText xml:space="preserve"> HYPERLINK \l "_Code_of_claimant" \h </w:instrText>
      </w:r>
      <w:r>
        <w:fldChar w:fldCharType="separate"/>
      </w:r>
      <w:r>
        <w:rPr>
          <w:rFonts w:asciiTheme="majorHAnsi" w:hAnsiTheme="majorHAnsi" w:cstheme="majorHAnsi"/>
        </w:rPr>
        <w:t>Code of claimant rights</w:t>
      </w:r>
      <w:r>
        <w:rPr>
          <w:rFonts w:asciiTheme="majorHAnsi" w:hAnsiTheme="majorHAnsi" w:cstheme="majorHAnsi"/>
        </w:rPr>
        <w:fldChar w:fldCharType="end"/>
      </w:r>
      <w:r>
        <w:rPr>
          <w:rFonts w:asciiTheme="majorHAnsi" w:hAnsiTheme="majorHAnsi" w:cstheme="majorHAnsi"/>
        </w:rPr>
        <w:t xml:space="preserve"> below</w:t>
      </w:r>
    </w:p>
    <w:p>
      <w:pPr>
        <w:pStyle w:val="292"/>
        <w:rPr>
          <w:rFonts w:asciiTheme="majorHAnsi" w:hAnsiTheme="majorHAnsi" w:cstheme="majorHAnsi"/>
        </w:rPr>
      </w:pPr>
      <w:r>
        <w:rPr>
          <w:rFonts w:asciiTheme="majorHAnsi" w:hAnsiTheme="majorHAnsi" w:cstheme="majorHAnsi"/>
        </w:rPr>
        <w:t xml:space="preserve">If an injured Kaimahi-staff disagrees with either a claim or entitlement decision by </w:t>
      </w:r>
      <w:r>
        <w:rPr>
          <w:rFonts w:ascii="Arial" w:hAnsi="Arial" w:cstheme="majorHAnsi"/>
          <w:color w:val="auto"/>
        </w:rPr>
        <w:t>University of Otago</w:t>
      </w:r>
      <w:r>
        <w:rPr>
          <w:rFonts w:asciiTheme="majorHAnsi" w:hAnsiTheme="majorHAnsi" w:cstheme="majorHAnsi"/>
        </w:rPr>
        <w:t>/Howden Care they have the right to review this decision.</w:t>
      </w:r>
    </w:p>
    <w:p>
      <w:pPr>
        <w:pStyle w:val="7"/>
        <w:rPr>
          <w:rFonts w:cstheme="majorHAnsi"/>
        </w:rPr>
      </w:pPr>
      <w:bookmarkStart w:id="421" w:name="_Code_of_claimant"/>
      <w:bookmarkEnd w:id="421"/>
      <w:bookmarkStart w:id="422" w:name="_Toc1270917162"/>
      <w:bookmarkStart w:id="423" w:name="_Toc90394285"/>
      <w:bookmarkStart w:id="424" w:name="_Toc1367219435"/>
      <w:bookmarkStart w:id="425" w:name="_Toc101453897"/>
      <w:bookmarkStart w:id="426" w:name="_Toc101532364"/>
      <w:bookmarkStart w:id="427" w:name="_Toc1303446908"/>
      <w:bookmarkStart w:id="428" w:name="_Toc1709387409"/>
      <w:bookmarkStart w:id="429" w:name="_Toc90388380"/>
      <w:r>
        <w:rPr>
          <w:rFonts w:cstheme="majorHAnsi"/>
        </w:rPr>
        <w:t>10.2</w:t>
      </w:r>
      <w:r>
        <w:rPr>
          <w:rFonts w:cstheme="majorHAnsi"/>
        </w:rPr>
        <w:tab/>
      </w:r>
      <w:r>
        <w:rPr>
          <w:rFonts w:cstheme="majorHAnsi"/>
        </w:rPr>
        <w:t>Code of claimant rights</w:t>
      </w:r>
      <w:bookmarkEnd w:id="422"/>
      <w:bookmarkEnd w:id="423"/>
      <w:bookmarkEnd w:id="424"/>
      <w:bookmarkEnd w:id="425"/>
      <w:bookmarkEnd w:id="426"/>
      <w:bookmarkEnd w:id="427"/>
      <w:bookmarkEnd w:id="428"/>
      <w:bookmarkEnd w:id="429"/>
    </w:p>
    <w:p>
      <w:pPr>
        <w:pStyle w:val="5"/>
        <w:rPr>
          <w:rFonts w:eastAsia="Times New Roman" w:asciiTheme="majorHAnsi" w:hAnsiTheme="majorHAnsi" w:cstheme="majorHAnsi"/>
          <w:lang w:eastAsia="en-GB"/>
        </w:rPr>
      </w:pPr>
      <w:r>
        <w:rPr>
          <w:rStyle w:val="28"/>
          <w:rFonts w:asciiTheme="majorHAnsi" w:hAnsiTheme="majorHAnsi" w:cstheme="majorHAnsi"/>
          <w:color w:val="002060"/>
          <w:sz w:val="20"/>
          <w:szCs w:val="22"/>
        </w:rPr>
        <w:t xml:space="preserve">The purpose </w:t>
      </w:r>
      <w:r>
        <w:rPr>
          <w:rFonts w:asciiTheme="majorHAnsi" w:hAnsiTheme="majorHAnsi" w:cstheme="majorHAnsi"/>
        </w:rPr>
        <w:t xml:space="preserve">of the Code is to meet the reasonable expectations of the injured Kaimahi-staff (including the highest practicable standard of service and fairness) about how ACC, </w:t>
      </w:r>
      <w:r>
        <w:rPr>
          <w:rFonts w:ascii="Arial" w:hAnsi="Arial" w:cstheme="majorHAnsi"/>
          <w:color w:val="auto"/>
        </w:rPr>
        <w:t>University of Otago</w:t>
      </w:r>
      <w:r>
        <w:rPr>
          <w:rFonts w:eastAsia="Times New Roman" w:asciiTheme="majorHAnsi" w:hAnsiTheme="majorHAnsi" w:cstheme="majorHAnsi"/>
          <w:color w:val="auto"/>
          <w:lang w:eastAsia="en-GB"/>
        </w:rPr>
        <w:t xml:space="preserve"> </w:t>
      </w:r>
      <w:r>
        <w:rPr>
          <w:rFonts w:eastAsia="Times New Roman" w:asciiTheme="majorHAnsi" w:hAnsiTheme="majorHAnsi" w:cstheme="majorHAnsi"/>
          <w:lang w:eastAsia="en-GB"/>
        </w:rPr>
        <w:t xml:space="preserve">and Howden Care </w:t>
      </w:r>
      <w:r>
        <w:rPr>
          <w:rFonts w:asciiTheme="majorHAnsi" w:hAnsiTheme="majorHAnsi" w:cstheme="majorHAnsi"/>
        </w:rPr>
        <w:t xml:space="preserve">should deal with them. </w:t>
      </w:r>
      <w:r>
        <w:rPr>
          <w:rFonts w:ascii="Arial" w:hAnsi="Arial" w:eastAsia="Times New Roman" w:cstheme="majorHAnsi"/>
          <w:color w:val="auto"/>
          <w:lang w:eastAsia="en-GB"/>
        </w:rPr>
        <w:t>University of Otago</w:t>
      </w:r>
      <w:r>
        <w:rPr>
          <w:rFonts w:eastAsia="Times New Roman" w:asciiTheme="majorHAnsi" w:hAnsiTheme="majorHAnsi" w:cstheme="majorHAnsi"/>
          <w:lang w:eastAsia="en-GB"/>
        </w:rPr>
        <w:t>/Howden Care aims to treat all employees in accordance with the Code, which outlines the following rights:</w:t>
      </w:r>
    </w:p>
    <w:p>
      <w:pPr>
        <w:pStyle w:val="292"/>
        <w:rPr>
          <w:rFonts w:asciiTheme="majorHAnsi" w:hAnsiTheme="majorHAnsi" w:cstheme="majorHAnsi"/>
        </w:rPr>
      </w:pPr>
      <w:r>
        <w:rPr>
          <w:rFonts w:asciiTheme="majorHAnsi" w:hAnsiTheme="majorHAnsi" w:cstheme="majorHAnsi"/>
        </w:rPr>
        <w:t>The right to be treated with dignity and respect, and have their views considered</w:t>
      </w:r>
    </w:p>
    <w:p>
      <w:pPr>
        <w:pStyle w:val="292"/>
        <w:rPr>
          <w:rFonts w:asciiTheme="majorHAnsi" w:hAnsiTheme="majorHAnsi" w:cstheme="majorHAnsi"/>
        </w:rPr>
      </w:pPr>
      <w:r>
        <w:rPr>
          <w:rFonts w:asciiTheme="majorHAnsi" w:hAnsiTheme="majorHAnsi" w:cstheme="majorHAnsi"/>
        </w:rPr>
        <w:t>The right to be treated fairly</w:t>
      </w:r>
    </w:p>
    <w:p>
      <w:pPr>
        <w:pStyle w:val="292"/>
        <w:rPr>
          <w:rFonts w:asciiTheme="majorHAnsi" w:hAnsiTheme="majorHAnsi" w:cstheme="majorHAnsi"/>
        </w:rPr>
      </w:pPr>
      <w:r>
        <w:rPr>
          <w:rFonts w:asciiTheme="majorHAnsi" w:hAnsiTheme="majorHAnsi" w:cstheme="majorHAnsi"/>
        </w:rPr>
        <w:t>The right to respect for their culture, values and beliefs</w:t>
      </w:r>
    </w:p>
    <w:p>
      <w:pPr>
        <w:pStyle w:val="292"/>
        <w:rPr>
          <w:rFonts w:asciiTheme="majorHAnsi" w:hAnsiTheme="majorHAnsi" w:cstheme="majorHAnsi"/>
        </w:rPr>
      </w:pPr>
      <w:r>
        <w:rPr>
          <w:rFonts w:asciiTheme="majorHAnsi" w:hAnsiTheme="majorHAnsi" w:cstheme="majorHAnsi"/>
        </w:rPr>
        <w:t>The right to have a support person</w:t>
      </w:r>
    </w:p>
    <w:p>
      <w:pPr>
        <w:pStyle w:val="292"/>
        <w:rPr>
          <w:rFonts w:asciiTheme="majorHAnsi" w:hAnsiTheme="majorHAnsi" w:cstheme="majorHAnsi"/>
        </w:rPr>
      </w:pPr>
      <w:r>
        <w:rPr>
          <w:rFonts w:asciiTheme="majorHAnsi" w:hAnsiTheme="majorHAnsi" w:cstheme="majorHAnsi"/>
        </w:rPr>
        <w:t>The right to open, prompt, effective communication, and to receive a response</w:t>
      </w:r>
    </w:p>
    <w:p>
      <w:pPr>
        <w:pStyle w:val="292"/>
        <w:rPr>
          <w:rFonts w:asciiTheme="majorHAnsi" w:hAnsiTheme="majorHAnsi" w:cstheme="majorHAnsi"/>
        </w:rPr>
      </w:pPr>
      <w:r>
        <w:rPr>
          <w:rFonts w:asciiTheme="majorHAnsi" w:hAnsiTheme="majorHAnsi" w:cstheme="majorHAnsi"/>
        </w:rPr>
        <w:t>The right to be fully informed</w:t>
      </w:r>
    </w:p>
    <w:p>
      <w:pPr>
        <w:pStyle w:val="292"/>
        <w:rPr>
          <w:rFonts w:asciiTheme="majorHAnsi" w:hAnsiTheme="majorHAnsi" w:cstheme="majorHAnsi"/>
        </w:rPr>
      </w:pPr>
      <w:r>
        <w:rPr>
          <w:rFonts w:asciiTheme="majorHAnsi" w:hAnsiTheme="majorHAnsi" w:cstheme="majorHAnsi"/>
        </w:rPr>
        <w:t>The right to have their privacy respected</w:t>
      </w:r>
    </w:p>
    <w:p>
      <w:pPr>
        <w:pStyle w:val="292"/>
        <w:rPr>
          <w:rFonts w:asciiTheme="majorHAnsi" w:hAnsiTheme="majorHAnsi" w:cstheme="majorHAnsi"/>
        </w:rPr>
      </w:pPr>
      <w:r>
        <w:rPr>
          <w:rFonts w:asciiTheme="majorHAnsi" w:hAnsiTheme="majorHAnsi" w:cstheme="majorHAnsi"/>
        </w:rPr>
        <w:t>The right to be dealt with in a cooperative and effective environment</w:t>
      </w:r>
    </w:p>
    <w:p>
      <w:pPr>
        <w:pStyle w:val="7"/>
        <w:rPr>
          <w:rFonts w:cstheme="majorHAnsi"/>
        </w:rPr>
      </w:pPr>
      <w:bookmarkStart w:id="430" w:name="_Toc1493686709"/>
      <w:bookmarkStart w:id="431" w:name="_Toc124311936"/>
      <w:bookmarkStart w:id="432" w:name="_Toc839271423"/>
      <w:bookmarkStart w:id="433" w:name="_Toc101453898"/>
      <w:bookmarkStart w:id="434" w:name="_Toc90388381"/>
      <w:bookmarkStart w:id="435" w:name="_Toc101532365"/>
      <w:bookmarkStart w:id="436" w:name="_Toc90394286"/>
      <w:bookmarkStart w:id="437" w:name="_Toc1895682239"/>
      <w:r>
        <w:rPr>
          <w:rFonts w:cstheme="majorHAnsi"/>
        </w:rPr>
        <w:t>10.3</w:t>
      </w:r>
      <w:r>
        <w:rPr>
          <w:rFonts w:cstheme="majorHAnsi"/>
        </w:rPr>
        <w:tab/>
      </w:r>
      <w:r>
        <w:rPr>
          <w:rFonts w:cstheme="majorHAnsi"/>
        </w:rPr>
        <w:t>Complaints</w:t>
      </w:r>
      <w:bookmarkEnd w:id="430"/>
      <w:bookmarkEnd w:id="431"/>
      <w:bookmarkEnd w:id="432"/>
      <w:bookmarkEnd w:id="433"/>
      <w:bookmarkEnd w:id="434"/>
      <w:bookmarkEnd w:id="435"/>
      <w:bookmarkEnd w:id="436"/>
      <w:bookmarkEnd w:id="437"/>
    </w:p>
    <w:p>
      <w:pPr>
        <w:pStyle w:val="5"/>
        <w:rPr>
          <w:rFonts w:eastAsia="Times New Roman" w:asciiTheme="majorHAnsi" w:hAnsiTheme="majorHAnsi" w:cstheme="majorBidi"/>
          <w:lang w:eastAsia="en-GB"/>
        </w:rPr>
      </w:pPr>
      <w:r>
        <w:rPr>
          <w:rFonts w:asciiTheme="majorHAnsi" w:hAnsiTheme="majorHAnsi" w:cstheme="majorBidi"/>
        </w:rPr>
        <w:t>Concerns and complaints can be raised about aspects that are not part of the ACC cover and entitlement process. This includes service issues, privacy and consent concerns, interpersonal issues, return to work procedures or potential breaches of the Code of Claimant Rights.</w:t>
      </w:r>
      <w:r>
        <w:rPr>
          <w:rFonts w:eastAsia="Times New Roman" w:asciiTheme="majorHAnsi" w:hAnsiTheme="majorHAnsi" w:cstheme="majorBidi"/>
          <w:lang w:eastAsia="en-GB"/>
        </w:rPr>
        <w:t xml:space="preserve"> If an injured Kaimahi-staff is concerned about the management of their claim, they can raise their concerns verbally or in writing to </w:t>
      </w:r>
      <w:r>
        <w:rPr>
          <w:rFonts w:ascii="Arial" w:hAnsi="Arial" w:eastAsia="Times New Roman" w:cstheme="majorBidi"/>
          <w:color w:val="auto"/>
          <w:lang w:eastAsia="en-GB"/>
        </w:rPr>
        <w:t xml:space="preserve">University of Otago (Director, Health and Safety, acc@otago.ac.nz) </w:t>
      </w:r>
      <w:r>
        <w:rPr>
          <w:rFonts w:eastAsia="Times New Roman" w:asciiTheme="majorHAnsi" w:hAnsiTheme="majorHAnsi" w:cstheme="majorBidi"/>
          <w:lang w:eastAsia="en-GB"/>
        </w:rPr>
        <w:t xml:space="preserve">or Howden Care on freephone 0800 083 227 or email </w:t>
      </w:r>
      <w:r>
        <w:fldChar w:fldCharType="begin"/>
      </w:r>
      <w:r>
        <w:instrText xml:space="preserve"> HYPERLINK "mailto:info.nz@howdengroup.com" \h </w:instrText>
      </w:r>
      <w:r>
        <w:fldChar w:fldCharType="separate"/>
      </w:r>
      <w:r>
        <w:rPr>
          <w:rStyle w:val="55"/>
          <w:rFonts w:eastAsia="Times New Roman" w:asciiTheme="majorHAnsi" w:hAnsiTheme="majorHAnsi" w:cstheme="majorBidi"/>
          <w:lang w:eastAsia="en-GB"/>
        </w:rPr>
        <w:t>info.nz@howdengroup.com</w:t>
      </w:r>
      <w:r>
        <w:rPr>
          <w:rStyle w:val="55"/>
          <w:rFonts w:eastAsia="Times New Roman" w:asciiTheme="majorHAnsi" w:hAnsiTheme="majorHAnsi" w:cstheme="majorBidi"/>
          <w:lang w:eastAsia="en-GB"/>
        </w:rPr>
        <w:fldChar w:fldCharType="end"/>
      </w:r>
      <w:r>
        <w:rPr>
          <w:rFonts w:eastAsia="Times New Roman" w:asciiTheme="majorHAnsi" w:hAnsiTheme="majorHAnsi" w:cstheme="majorBidi"/>
          <w:lang w:eastAsia="en-GB"/>
        </w:rPr>
        <w:t>. They can also talk to their line manager.</w:t>
      </w:r>
    </w:p>
    <w:p>
      <w:pPr>
        <w:pStyle w:val="5"/>
        <w:rPr>
          <w:rFonts w:asciiTheme="majorHAnsi" w:hAnsiTheme="majorHAnsi" w:cstheme="majorHAnsi"/>
        </w:rPr>
      </w:pPr>
      <w:r>
        <w:rPr>
          <w:rFonts w:asciiTheme="majorHAnsi" w:hAnsiTheme="majorHAnsi" w:cstheme="majorHAnsi"/>
        </w:rPr>
        <w:t xml:space="preserve">A person may raise a concern that can be quickly resolved without proceeding to a formal complaint. An example may be where a home help provider has not turned up as expected, or they have not received information that they have requested from their Case Manager. The University of Otago OHN/Howden Care will work with the person to resolve their concern quickly and to their satisfaction. If they are not satisfied, they are able to request that their complaint be formally investigated. </w:t>
      </w:r>
    </w:p>
    <w:p>
      <w:pPr>
        <w:pStyle w:val="5"/>
        <w:rPr>
          <w:rFonts w:asciiTheme="majorHAnsi" w:hAnsiTheme="majorHAnsi" w:cstheme="majorHAnsi"/>
        </w:rPr>
      </w:pPr>
      <w:r>
        <w:rPr>
          <w:rFonts w:eastAsia="Times New Roman" w:asciiTheme="majorHAnsi" w:hAnsiTheme="majorHAnsi" w:cstheme="majorHAnsi"/>
          <w:lang w:eastAsia="en-GB"/>
        </w:rPr>
        <w:t xml:space="preserve">Where a formal complaint is raised, it will be handled promptly and respectfully and will consider the Code of claimant rights. Options to resolve the complaint through an informal resolution process will be explored. If the complaint cannot be informally resolved, </w:t>
      </w:r>
      <w:r>
        <w:rPr>
          <w:rFonts w:asciiTheme="majorHAnsi" w:hAnsiTheme="majorHAnsi" w:cstheme="majorHAnsi"/>
        </w:rPr>
        <w:t>Howden Care/</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will determine who is best to manage the complaint investigation and resolution. In general Howden Care will manage complaints regarding the claims process and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will manage complaints relating to employee/employer issues.</w:t>
      </w:r>
    </w:p>
    <w:p>
      <w:pPr>
        <w:pStyle w:val="5"/>
        <w:rPr>
          <w:rFonts w:asciiTheme="majorHAnsi" w:hAnsiTheme="majorHAnsi" w:cstheme="majorHAnsi"/>
        </w:rPr>
      </w:pPr>
      <w:r>
        <w:rPr>
          <w:rFonts w:asciiTheme="majorHAnsi" w:hAnsiTheme="majorHAnsi" w:cstheme="majorHAnsi"/>
        </w:rPr>
        <w:t xml:space="preserve">Complaints will be fully investigated by the appropriate person and will consider all relevant information. Where necessary further evidence or information may be requested. </w:t>
      </w:r>
    </w:p>
    <w:p>
      <w:pPr>
        <w:pStyle w:val="5"/>
        <w:rPr>
          <w:rFonts w:asciiTheme="majorHAnsi" w:hAnsiTheme="majorHAnsi" w:cstheme="majorHAnsi"/>
        </w:rPr>
      </w:pPr>
      <w:r>
        <w:rPr>
          <w:rFonts w:asciiTheme="majorHAnsi" w:hAnsiTheme="majorHAnsi" w:cstheme="majorHAnsi"/>
        </w:rPr>
        <w:t xml:space="preserve">If the complaint cannot be satisfactorily resolved, the injured Kaimahi-staff can </w:t>
      </w:r>
      <w:r>
        <w:rPr>
          <w:rFonts w:asciiTheme="majorHAnsi" w:hAnsiTheme="majorHAnsi" w:cstheme="majorHAnsi"/>
          <w:color w:val="auto"/>
        </w:rPr>
        <w:t xml:space="preserve">contact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Disputes Manager (ACC@otago.ac.nz) or make a complaint to ACC via the Customer Resolution Team on 0800 650 222 or email </w:t>
      </w:r>
      <w:r>
        <w:fldChar w:fldCharType="begin"/>
      </w:r>
      <w:r>
        <w:instrText xml:space="preserve"> HYPERLINK "mailto:customerfeedback@acc.co.nz" \h </w:instrText>
      </w:r>
      <w:r>
        <w:fldChar w:fldCharType="separate"/>
      </w:r>
      <w:r>
        <w:rPr>
          <w:rStyle w:val="55"/>
          <w:rFonts w:asciiTheme="majorHAnsi" w:hAnsiTheme="majorHAnsi" w:cstheme="majorHAnsi"/>
        </w:rPr>
        <w:t>customerfeedback@acc.co.nz</w:t>
      </w:r>
      <w:r>
        <w:rPr>
          <w:rStyle w:val="55"/>
          <w:rFonts w:asciiTheme="majorHAnsi" w:hAnsiTheme="majorHAnsi" w:cstheme="majorHAnsi"/>
        </w:rPr>
        <w:fldChar w:fldCharType="end"/>
      </w:r>
      <w:r>
        <w:rPr>
          <w:rFonts w:asciiTheme="majorHAnsi" w:hAnsiTheme="majorHAnsi" w:cstheme="majorHAnsi"/>
        </w:rPr>
        <w:t>.</w:t>
      </w:r>
    </w:p>
    <w:p>
      <w:pPr>
        <w:pStyle w:val="5"/>
        <w:rPr>
          <w:rFonts w:eastAsia="Times New Roman" w:asciiTheme="majorHAnsi" w:hAnsiTheme="majorHAnsi" w:cstheme="majorHAnsi"/>
          <w:lang w:eastAsia="en-GB"/>
        </w:rPr>
      </w:pPr>
      <w:r>
        <w:rPr>
          <w:rFonts w:ascii="Arial" w:hAnsi="Arial" w:eastAsia="Times New Roman" w:cstheme="majorHAnsi"/>
          <w:color w:val="auto"/>
          <w:lang w:eastAsia="en-GB"/>
        </w:rPr>
        <w:t>University of Otago</w:t>
      </w:r>
      <w:r>
        <w:rPr>
          <w:rFonts w:eastAsia="Times New Roman" w:asciiTheme="majorHAnsi" w:hAnsiTheme="majorHAnsi" w:cstheme="majorHAnsi"/>
          <w:color w:val="auto"/>
          <w:lang w:eastAsia="en-GB"/>
        </w:rPr>
        <w:t xml:space="preserve">’s </w:t>
      </w:r>
      <w:r>
        <w:rPr>
          <w:rFonts w:eastAsia="Times New Roman" w:asciiTheme="majorHAnsi" w:hAnsiTheme="majorHAnsi" w:cstheme="majorHAnsi"/>
          <w:lang w:eastAsia="en-GB"/>
        </w:rPr>
        <w:t>Complaints Manager is:</w:t>
      </w:r>
    </w:p>
    <w:p>
      <w:pPr>
        <w:pStyle w:val="5"/>
        <w:rPr>
          <w:rFonts w:asciiTheme="majorHAnsi" w:hAnsiTheme="majorHAnsi" w:cstheme="majorHAnsi"/>
        </w:rPr>
      </w:pPr>
      <w:r>
        <w:rPr>
          <w:rFonts w:eastAsia="Times New Roman" w:asciiTheme="majorHAnsi" w:hAnsiTheme="majorHAnsi" w:cstheme="majorHAnsi"/>
          <w:lang w:eastAsia="en-GB"/>
        </w:rPr>
        <w:t xml:space="preserve">Andrea McMillian, Director, </w:t>
      </w:r>
      <w:r>
        <w:rPr>
          <w:rFonts w:ascii="Helvetica" w:hAnsi="Helvetica" w:cs="Helvetica"/>
          <w:color w:val="555555"/>
          <w:sz w:val="18"/>
          <w:szCs w:val="18"/>
          <w:lang w:eastAsia="en-NZ"/>
        </w:rPr>
        <w:t>Health, Safety and Wellbeing</w:t>
      </w:r>
      <w:r>
        <w:rPr>
          <w:rFonts w:ascii="Helvetica" w:hAnsi="Helvetica" w:cs="Helvetica"/>
          <w:color w:val="555555"/>
          <w:sz w:val="18"/>
          <w:szCs w:val="18"/>
          <w:lang w:eastAsia="en-NZ"/>
        </w:rPr>
        <w:br w:type="textWrapping"/>
      </w:r>
      <w:r>
        <w:rPr>
          <w:rFonts w:ascii="Helvetica" w:hAnsi="Helvetica" w:cs="Helvetica"/>
          <w:color w:val="555555"/>
          <w:sz w:val="18"/>
          <w:szCs w:val="18"/>
          <w:lang w:eastAsia="en-NZ"/>
        </w:rPr>
        <w:t>Operations Group</w:t>
      </w:r>
      <w:r>
        <w:rPr>
          <w:rFonts w:ascii="Helvetica" w:hAnsi="Helvetica" w:cs="Helvetica"/>
          <w:color w:val="555555"/>
          <w:sz w:val="18"/>
          <w:szCs w:val="18"/>
          <w:lang w:eastAsia="en-NZ"/>
        </w:rPr>
        <w:br w:type="textWrapping"/>
      </w:r>
      <w:r>
        <w:rPr>
          <w:rFonts w:asciiTheme="majorHAnsi" w:hAnsiTheme="majorHAnsi" w:cstheme="majorHAnsi"/>
        </w:rPr>
        <w:t>All complaints to Howden Care will be recorded in their Quality System and reviewed by</w:t>
      </w:r>
      <w:r>
        <w:rPr>
          <w:rFonts w:asciiTheme="majorHAnsi" w:hAnsiTheme="majorHAnsi" w:cstheme="majorHAnsi"/>
          <w:color w:val="FF0000"/>
        </w:rPr>
        <w:t xml:space="preserve">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and Howden Care each quarter. Measures will be put in place to address any issues identified from complaint investigations and outcomes.</w:t>
      </w:r>
    </w:p>
    <w:p>
      <w:pPr>
        <w:pStyle w:val="5"/>
        <w:rPr>
          <w:rFonts w:asciiTheme="majorHAnsi" w:hAnsiTheme="majorHAnsi" w:cstheme="majorHAnsi"/>
        </w:rPr>
      </w:pPr>
      <w:r>
        <w:rPr>
          <w:rFonts w:asciiTheme="majorHAnsi" w:hAnsiTheme="majorHAnsi" w:cstheme="majorHAnsi"/>
        </w:rPr>
        <w:t xml:space="preserve">See </w:t>
      </w:r>
      <w:r>
        <w:fldChar w:fldCharType="begin"/>
      </w:r>
      <w:r>
        <w:instrText xml:space="preserve"> HYPERLINK \l "_Appendix_5_Compliant" \h </w:instrText>
      </w:r>
      <w:r>
        <w:fldChar w:fldCharType="separate"/>
      </w:r>
      <w:r>
        <w:rPr>
          <w:rStyle w:val="55"/>
          <w:rFonts w:asciiTheme="majorHAnsi" w:hAnsiTheme="majorHAnsi" w:cstheme="majorHAnsi"/>
          <w:color w:val="00B0F0"/>
        </w:rPr>
        <w:t>Appendix 5 Complaint Process</w:t>
      </w:r>
      <w:r>
        <w:rPr>
          <w:rStyle w:val="55"/>
          <w:rFonts w:asciiTheme="majorHAnsi" w:hAnsiTheme="majorHAnsi" w:cstheme="majorHAnsi"/>
          <w:color w:val="00B0F0"/>
        </w:rPr>
        <w:fldChar w:fldCharType="end"/>
      </w:r>
    </w:p>
    <w:p>
      <w:pPr>
        <w:pStyle w:val="7"/>
        <w:rPr>
          <w:rFonts w:cstheme="majorHAnsi"/>
        </w:rPr>
      </w:pPr>
      <w:bookmarkStart w:id="438" w:name="_Toc597110006"/>
      <w:bookmarkStart w:id="439" w:name="_Toc101532366"/>
      <w:bookmarkStart w:id="440" w:name="_Toc428256505"/>
      <w:bookmarkStart w:id="441" w:name="_Toc101453899"/>
      <w:r>
        <w:rPr>
          <w:rFonts w:cstheme="majorHAnsi"/>
        </w:rPr>
        <w:t>10.4</w:t>
      </w:r>
      <w:r>
        <w:rPr>
          <w:rFonts w:cstheme="majorHAnsi"/>
        </w:rPr>
        <w:tab/>
      </w:r>
      <w:r>
        <w:rPr>
          <w:rFonts w:cstheme="majorHAnsi"/>
        </w:rPr>
        <w:t>Reviews</w:t>
      </w:r>
      <w:bookmarkEnd w:id="438"/>
      <w:bookmarkEnd w:id="439"/>
      <w:bookmarkEnd w:id="440"/>
      <w:bookmarkEnd w:id="441"/>
    </w:p>
    <w:p>
      <w:pPr>
        <w:pStyle w:val="5"/>
        <w:rPr>
          <w:rStyle w:val="362"/>
          <w:rFonts w:asciiTheme="majorHAnsi" w:hAnsiTheme="majorHAnsi" w:cstheme="majorHAnsi"/>
          <w:color w:val="152C46" w:themeColor="text1"/>
          <w:sz w:val="20"/>
          <w:szCs w:val="20"/>
          <w14:textFill>
            <w14:solidFill>
              <w14:schemeClr w14:val="tx1"/>
            </w14:solidFill>
          </w14:textFill>
        </w:rPr>
      </w:pPr>
      <w:r>
        <w:rPr>
          <w:rStyle w:val="362"/>
          <w:rFonts w:asciiTheme="majorHAnsi" w:hAnsiTheme="majorHAnsi" w:cstheme="majorHAnsi"/>
          <w:color w:val="152C46" w:themeColor="text1"/>
          <w:sz w:val="20"/>
          <w:szCs w:val="20"/>
          <w14:textFill>
            <w14:solidFill>
              <w14:schemeClr w14:val="tx1"/>
            </w14:solidFill>
          </w14:textFill>
        </w:rPr>
        <w:t>An Kaimahi-staff has the right to formally review:</w:t>
      </w:r>
    </w:p>
    <w:p>
      <w:pPr>
        <w:pStyle w:val="292"/>
        <w:rPr>
          <w:rFonts w:asciiTheme="majorHAnsi" w:hAnsiTheme="majorHAnsi" w:cstheme="majorHAnsi"/>
        </w:rPr>
      </w:pPr>
      <w:r>
        <w:rPr>
          <w:rFonts w:asciiTheme="majorHAnsi" w:hAnsiTheme="majorHAnsi" w:cstheme="majorHAnsi"/>
        </w:rPr>
        <w:t>Any written claim decision that relates to cover and/or</w:t>
      </w:r>
    </w:p>
    <w:p>
      <w:pPr>
        <w:pStyle w:val="292"/>
        <w:rPr>
          <w:rFonts w:asciiTheme="majorHAnsi" w:hAnsiTheme="majorHAnsi" w:cstheme="majorHAnsi"/>
        </w:rPr>
      </w:pPr>
      <w:r>
        <w:rPr>
          <w:rFonts w:asciiTheme="majorHAnsi" w:hAnsiTheme="majorHAnsi" w:cstheme="majorHAnsi"/>
        </w:rPr>
        <w:t xml:space="preserve">An entitlement they receive under the Act relating to a work injury </w:t>
      </w:r>
    </w:p>
    <w:p>
      <w:pPr>
        <w:pStyle w:val="5"/>
        <w:rPr>
          <w:rFonts w:asciiTheme="majorHAnsi" w:hAnsiTheme="majorHAnsi" w:cstheme="majorHAnsi"/>
        </w:rPr>
      </w:pPr>
      <w:r>
        <w:rPr>
          <w:rFonts w:asciiTheme="majorHAnsi" w:hAnsiTheme="majorHAnsi" w:cstheme="majorHAnsi"/>
        </w:rPr>
        <w:t xml:space="preserve">A formal review can be raised in writing by an injured Kaimahi-staff to </w:t>
      </w:r>
      <w:r>
        <w:rPr>
          <w:rFonts w:ascii="Arial" w:hAnsi="Arial" w:cstheme="majorHAnsi"/>
          <w:color w:val="auto"/>
        </w:rPr>
        <w:t>University of Otago</w:t>
      </w:r>
      <w:r>
        <w:rPr>
          <w:rFonts w:asciiTheme="majorHAnsi" w:hAnsiTheme="majorHAnsi" w:cstheme="majorHAnsi"/>
        </w:rPr>
        <w:t xml:space="preserve">/Howden Care within 3 months of the claim decision unless there are extenuating circumstances. An ‘Application for Review’ form and process documentation can be provided by Howden Care; however, this form does not need to be used and an email/letter stating the reasons for contesting the decision is sufficient. </w:t>
      </w:r>
    </w:p>
    <w:p>
      <w:pPr>
        <w:pStyle w:val="5"/>
        <w:rPr>
          <w:rFonts w:asciiTheme="majorHAnsi" w:hAnsiTheme="majorHAnsi" w:cstheme="majorHAnsi"/>
        </w:rPr>
      </w:pPr>
      <w:r>
        <w:rPr>
          <w:rFonts w:asciiTheme="majorHAnsi" w:hAnsiTheme="majorHAnsi" w:cstheme="majorHAnsi"/>
        </w:rPr>
        <w:t xml:space="preserve">Information regarding the Review process can be found on the ACC website </w:t>
      </w:r>
      <w:r>
        <w:fldChar w:fldCharType="begin"/>
      </w:r>
      <w:r>
        <w:instrText xml:space="preserve"> HYPERLINK "https://www.acc.co.nz/contact/get-a-decision-reviewed." \h </w:instrText>
      </w:r>
      <w:r>
        <w:fldChar w:fldCharType="separate"/>
      </w:r>
      <w:r>
        <w:rPr>
          <w:rStyle w:val="55"/>
          <w:rFonts w:asciiTheme="majorHAnsi" w:hAnsiTheme="majorHAnsi" w:cstheme="majorHAnsi"/>
          <w:color w:val="00B0F0"/>
          <w:u w:val="none"/>
        </w:rPr>
        <w:t>https://www.acc.co.nz/contact/get-a-decision-reviewed</w:t>
      </w:r>
      <w:r>
        <w:rPr>
          <w:rStyle w:val="55"/>
          <w:rFonts w:asciiTheme="majorHAnsi" w:hAnsiTheme="majorHAnsi" w:cstheme="majorHAnsi"/>
          <w:color w:val="152C46" w:themeColor="text1"/>
          <w:u w:val="none"/>
          <w14:textFill>
            <w14:solidFill>
              <w14:schemeClr w14:val="tx1"/>
            </w14:solidFill>
          </w14:textFill>
        </w:rPr>
        <w:t>.</w:t>
      </w:r>
      <w:r>
        <w:rPr>
          <w:rStyle w:val="55"/>
          <w:rFonts w:asciiTheme="majorHAnsi" w:hAnsiTheme="majorHAnsi" w:cstheme="majorHAnsi"/>
          <w:color w:val="152C46" w:themeColor="text1"/>
          <w:u w:val="none"/>
          <w14:textFill>
            <w14:solidFill>
              <w14:schemeClr w14:val="tx1"/>
            </w14:solidFill>
          </w14:textFill>
        </w:rPr>
        <w:fldChar w:fldCharType="end"/>
      </w:r>
      <w:r>
        <w:rPr>
          <w:rFonts w:asciiTheme="majorHAnsi" w:hAnsiTheme="majorHAnsi" w:cstheme="majorHAnsi"/>
        </w:rPr>
        <w:t>The Accredited Employer Programme agreement with ACC sets out responsibilities when managing formal reviews, including timeframes. Mediation is available; however, the issue can proceed directly to a formal review hearing if either party indicates that this is the preferred option.</w:t>
      </w:r>
    </w:p>
    <w:p>
      <w:pPr>
        <w:pStyle w:val="7"/>
        <w:rPr>
          <w:rFonts w:cstheme="majorHAnsi"/>
        </w:rPr>
      </w:pPr>
      <w:bookmarkStart w:id="442" w:name="_Toc101453900"/>
      <w:bookmarkStart w:id="443" w:name="_Toc101532367"/>
      <w:r>
        <w:rPr>
          <w:rFonts w:cstheme="majorHAnsi"/>
        </w:rPr>
        <w:t>10.5</w:t>
      </w:r>
      <w:r>
        <w:rPr>
          <w:rFonts w:cstheme="majorHAnsi"/>
        </w:rPr>
        <w:tab/>
      </w:r>
      <w:bookmarkEnd w:id="442"/>
      <w:r>
        <w:rPr>
          <w:rFonts w:cstheme="majorHAnsi"/>
        </w:rPr>
        <w:t>Mediation</w:t>
      </w:r>
      <w:bookmarkEnd w:id="443"/>
    </w:p>
    <w:p>
      <w:pPr>
        <w:pStyle w:val="5"/>
        <w:rPr>
          <w:rFonts w:asciiTheme="majorHAnsi" w:hAnsiTheme="majorHAnsi" w:cstheme="majorHAnsi"/>
          <w:lang w:eastAsia="en-GB"/>
        </w:rPr>
      </w:pPr>
      <w:r>
        <w:rPr>
          <w:rFonts w:asciiTheme="majorHAnsi" w:hAnsiTheme="majorHAnsi" w:cstheme="majorHAnsi"/>
          <w:lang w:eastAsia="en-GB"/>
        </w:rPr>
        <w:t xml:space="preserve">Howden Care and </w:t>
      </w: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will consider whether mediation is appropriate.</w:t>
      </w:r>
    </w:p>
    <w:p>
      <w:pPr>
        <w:pStyle w:val="5"/>
        <w:rPr>
          <w:rFonts w:asciiTheme="majorHAnsi" w:hAnsiTheme="majorHAnsi" w:cstheme="majorHAnsi"/>
          <w:lang w:eastAsia="en-GB"/>
        </w:rPr>
      </w:pPr>
      <w:r>
        <w:rPr>
          <w:rFonts w:asciiTheme="majorHAnsi" w:hAnsiTheme="majorHAnsi" w:cstheme="majorHAnsi"/>
          <w:lang w:eastAsia="en-GB"/>
        </w:rPr>
        <w:t>If informal mediation is agreed on, this meeting can involve:</w:t>
      </w:r>
    </w:p>
    <w:p>
      <w:pPr>
        <w:pStyle w:val="292"/>
        <w:rPr>
          <w:rFonts w:asciiTheme="majorHAnsi" w:hAnsiTheme="majorHAnsi" w:cstheme="majorHAnsi"/>
        </w:rPr>
      </w:pPr>
      <w:r>
        <w:rPr>
          <w:rFonts w:asciiTheme="majorHAnsi" w:hAnsiTheme="majorHAnsi" w:cstheme="majorHAnsi"/>
        </w:rPr>
        <w:t>The injured employee</w:t>
      </w:r>
    </w:p>
    <w:p>
      <w:pPr>
        <w:pStyle w:val="292"/>
        <w:rPr>
          <w:rFonts w:asciiTheme="majorHAnsi" w:hAnsiTheme="majorHAnsi" w:cstheme="majorHAnsi"/>
        </w:rPr>
      </w:pPr>
      <w:r>
        <w:rPr>
          <w:rFonts w:asciiTheme="majorHAnsi" w:hAnsiTheme="majorHAnsi" w:cstheme="majorHAnsi"/>
        </w:rPr>
        <w:t>A support person if requested by the employee</w:t>
      </w:r>
    </w:p>
    <w:p>
      <w:pPr>
        <w:pStyle w:val="292"/>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representative</w:t>
      </w:r>
    </w:p>
    <w:p>
      <w:pPr>
        <w:pStyle w:val="292"/>
        <w:rPr>
          <w:rFonts w:asciiTheme="majorHAnsi" w:hAnsiTheme="majorHAnsi" w:cstheme="majorHAnsi"/>
        </w:rPr>
      </w:pPr>
      <w:r>
        <w:rPr>
          <w:rFonts w:asciiTheme="majorHAnsi" w:hAnsiTheme="majorHAnsi" w:cstheme="majorHAnsi"/>
        </w:rPr>
        <w:t>Howden Care representative</w:t>
      </w:r>
    </w:p>
    <w:p>
      <w:pPr>
        <w:pStyle w:val="5"/>
        <w:rPr>
          <w:rFonts w:asciiTheme="majorHAnsi" w:hAnsiTheme="majorHAnsi" w:cstheme="majorHAnsi"/>
          <w:lang w:eastAsia="en-GB"/>
        </w:rPr>
      </w:pPr>
      <w:r>
        <w:rPr>
          <w:rFonts w:asciiTheme="majorHAnsi" w:hAnsiTheme="majorHAnsi" w:cstheme="majorHAnsi"/>
          <w:lang w:eastAsia="en-GB"/>
        </w:rPr>
        <w:t>If formal mediation is agreed on, this meeting will involve:</w:t>
      </w:r>
    </w:p>
    <w:p>
      <w:pPr>
        <w:pStyle w:val="292"/>
        <w:rPr>
          <w:rFonts w:asciiTheme="majorHAnsi" w:hAnsiTheme="majorHAnsi" w:cstheme="majorHAnsi"/>
        </w:rPr>
      </w:pPr>
      <w:r>
        <w:rPr>
          <w:rFonts w:asciiTheme="majorHAnsi" w:hAnsiTheme="majorHAnsi" w:cstheme="majorHAnsi"/>
        </w:rPr>
        <w:t>The injured employee</w:t>
      </w:r>
    </w:p>
    <w:p>
      <w:pPr>
        <w:pStyle w:val="292"/>
        <w:rPr>
          <w:rFonts w:asciiTheme="majorHAnsi" w:hAnsiTheme="majorHAnsi" w:cstheme="majorHAnsi"/>
        </w:rPr>
      </w:pPr>
      <w:r>
        <w:rPr>
          <w:rFonts w:asciiTheme="majorHAnsi" w:hAnsiTheme="majorHAnsi" w:cstheme="majorHAnsi"/>
        </w:rPr>
        <w:t>A support person if requested by the employee</w:t>
      </w:r>
    </w:p>
    <w:p>
      <w:pPr>
        <w:pStyle w:val="292"/>
        <w:rPr>
          <w:rFonts w:asciiTheme="majorHAnsi" w:hAnsiTheme="majorHAnsi" w:cstheme="majorHAnsi"/>
        </w:rPr>
      </w:pP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representative</w:t>
      </w:r>
    </w:p>
    <w:p>
      <w:pPr>
        <w:pStyle w:val="292"/>
        <w:rPr>
          <w:rFonts w:asciiTheme="majorHAnsi" w:hAnsiTheme="majorHAnsi" w:cstheme="majorHAnsi"/>
        </w:rPr>
      </w:pPr>
      <w:r>
        <w:rPr>
          <w:rFonts w:asciiTheme="majorHAnsi" w:hAnsiTheme="majorHAnsi" w:cstheme="majorHAnsi"/>
        </w:rPr>
        <w:t>Howden Care representative</w:t>
      </w:r>
    </w:p>
    <w:p>
      <w:pPr>
        <w:pStyle w:val="292"/>
        <w:rPr>
          <w:rFonts w:asciiTheme="majorHAnsi" w:hAnsiTheme="majorHAnsi" w:cstheme="majorHAnsi"/>
        </w:rPr>
      </w:pPr>
      <w:r>
        <w:rPr>
          <w:rFonts w:asciiTheme="majorHAnsi" w:hAnsiTheme="majorHAnsi" w:cstheme="majorHAnsi"/>
        </w:rPr>
        <w:t>An external mediation agency</w:t>
      </w:r>
    </w:p>
    <w:p>
      <w:pPr>
        <w:pStyle w:val="7"/>
        <w:rPr>
          <w:rFonts w:cstheme="majorHAnsi"/>
        </w:rPr>
      </w:pPr>
      <w:bookmarkStart w:id="444" w:name="_Toc250476215"/>
      <w:bookmarkStart w:id="445" w:name="_Toc90388384"/>
      <w:bookmarkStart w:id="446" w:name="_Toc101453901"/>
      <w:bookmarkStart w:id="447" w:name="_Toc1466103113"/>
      <w:bookmarkStart w:id="448" w:name="_Toc90394289"/>
      <w:bookmarkStart w:id="449" w:name="_Toc1039155745"/>
      <w:bookmarkStart w:id="450" w:name="_Toc101532368"/>
      <w:bookmarkStart w:id="451" w:name="_Toc1679744813"/>
      <w:r>
        <w:rPr>
          <w:rFonts w:cstheme="majorHAnsi"/>
        </w:rPr>
        <w:t>10.6</w:t>
      </w:r>
      <w:r>
        <w:rPr>
          <w:rFonts w:cstheme="majorHAnsi"/>
        </w:rPr>
        <w:tab/>
      </w:r>
      <w:r>
        <w:rPr>
          <w:rFonts w:cstheme="majorHAnsi"/>
        </w:rPr>
        <w:t>Review applications and hearings</w:t>
      </w:r>
      <w:bookmarkEnd w:id="444"/>
      <w:bookmarkEnd w:id="445"/>
      <w:bookmarkEnd w:id="446"/>
      <w:bookmarkEnd w:id="447"/>
      <w:bookmarkEnd w:id="448"/>
      <w:bookmarkEnd w:id="449"/>
      <w:bookmarkEnd w:id="450"/>
      <w:bookmarkEnd w:id="451"/>
    </w:p>
    <w:p>
      <w:pPr>
        <w:pStyle w:val="8"/>
        <w:rPr>
          <w:rFonts w:cstheme="majorHAnsi"/>
        </w:rPr>
      </w:pPr>
      <w:bookmarkStart w:id="452" w:name="_Toc90394290"/>
      <w:bookmarkStart w:id="453" w:name="_Toc219024354"/>
      <w:bookmarkStart w:id="454" w:name="_Toc1220404346"/>
      <w:bookmarkStart w:id="455" w:name="_Toc1247434222"/>
      <w:bookmarkStart w:id="456" w:name="_Toc90388385"/>
      <w:bookmarkStart w:id="457" w:name="_Toc101453902"/>
      <w:bookmarkStart w:id="458" w:name="_Toc883994574"/>
      <w:bookmarkStart w:id="459" w:name="_Toc101532369"/>
      <w:r>
        <w:rPr>
          <w:rFonts w:cstheme="majorHAnsi"/>
        </w:rPr>
        <w:t>10.6.1</w:t>
      </w:r>
      <w:r>
        <w:rPr>
          <w:rFonts w:cstheme="majorHAnsi"/>
        </w:rPr>
        <w:tab/>
      </w:r>
      <w:r>
        <w:rPr>
          <w:rFonts w:cstheme="majorHAnsi"/>
        </w:rPr>
        <w:t>Review process</w:t>
      </w:r>
      <w:bookmarkEnd w:id="452"/>
      <w:bookmarkEnd w:id="453"/>
      <w:bookmarkEnd w:id="454"/>
      <w:bookmarkEnd w:id="455"/>
      <w:bookmarkEnd w:id="456"/>
      <w:bookmarkEnd w:id="457"/>
      <w:bookmarkEnd w:id="458"/>
      <w:bookmarkEnd w:id="459"/>
    </w:p>
    <w:p>
      <w:pPr>
        <w:pStyle w:val="5"/>
        <w:rPr>
          <w:rFonts w:asciiTheme="majorHAnsi" w:hAnsiTheme="majorHAnsi" w:cstheme="majorHAnsi"/>
        </w:rPr>
      </w:pPr>
      <w:r>
        <w:rPr>
          <w:rFonts w:asciiTheme="majorHAnsi" w:hAnsiTheme="majorHAnsi" w:cstheme="majorHAnsi"/>
        </w:rPr>
        <w:t xml:space="preserve">If a written application for review of a decision is received, the steps outlined in </w:t>
      </w:r>
      <w:r>
        <w:rPr>
          <w:rFonts w:asciiTheme="majorHAnsi" w:hAnsiTheme="majorHAnsi" w:cstheme="majorHAnsi"/>
          <w:color w:val="00B0F0"/>
          <w:u w:val="single"/>
        </w:rPr>
        <w:t xml:space="preserve">Appendix 6 – Review Process </w:t>
      </w:r>
      <w:r>
        <w:rPr>
          <w:rFonts w:asciiTheme="majorHAnsi" w:hAnsiTheme="majorHAnsi" w:cstheme="majorHAnsi"/>
        </w:rPr>
        <w:t xml:space="preserve">will be followed. Throughout the review process the Code of Claimant rights will be considered, the review application will be managed in accordance with the Act and the Accredited Employer Agreement, and all relevant information will be considered throughout this process. Howden Care will </w:t>
      </w:r>
      <w:r>
        <w:rPr>
          <w:rFonts w:asciiTheme="majorHAnsi" w:hAnsiTheme="majorHAnsi" w:cstheme="majorHAnsi"/>
          <w:color w:val="auto"/>
        </w:rPr>
        <w:t xml:space="preserve">keep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informed of progress of the review from lodgement to outcome.</w:t>
      </w:r>
    </w:p>
    <w:p>
      <w:pPr>
        <w:pStyle w:val="8"/>
        <w:rPr>
          <w:rFonts w:cstheme="majorHAnsi"/>
        </w:rPr>
      </w:pPr>
      <w:bookmarkStart w:id="460" w:name="_Toc101453903"/>
      <w:bookmarkStart w:id="461" w:name="_Toc1315808371"/>
      <w:bookmarkStart w:id="462" w:name="_Toc995189657"/>
      <w:bookmarkStart w:id="463" w:name="_Toc1060177639"/>
      <w:bookmarkStart w:id="464" w:name="_Toc90388386"/>
      <w:bookmarkStart w:id="465" w:name="_Toc90394291"/>
      <w:bookmarkStart w:id="466" w:name="_Toc742746087"/>
      <w:bookmarkStart w:id="467" w:name="_Toc101532370"/>
      <w:r>
        <w:rPr>
          <w:rFonts w:cstheme="majorHAnsi"/>
        </w:rPr>
        <w:t>10.6.2</w:t>
      </w:r>
      <w:r>
        <w:rPr>
          <w:rFonts w:cstheme="majorHAnsi"/>
        </w:rPr>
        <w:tab/>
      </w:r>
      <w:r>
        <w:rPr>
          <w:rFonts w:cstheme="majorHAnsi"/>
        </w:rPr>
        <w:t>Withdrawal of review application</w:t>
      </w:r>
      <w:bookmarkEnd w:id="460"/>
      <w:bookmarkEnd w:id="461"/>
      <w:bookmarkEnd w:id="462"/>
      <w:bookmarkEnd w:id="463"/>
      <w:bookmarkEnd w:id="464"/>
      <w:bookmarkEnd w:id="465"/>
      <w:bookmarkEnd w:id="466"/>
      <w:bookmarkEnd w:id="467"/>
    </w:p>
    <w:p>
      <w:pPr>
        <w:pStyle w:val="5"/>
        <w:rPr>
          <w:rStyle w:val="362"/>
          <w:rFonts w:asciiTheme="majorHAnsi" w:hAnsiTheme="majorHAnsi" w:cstheme="majorHAnsi"/>
          <w:color w:val="152C46" w:themeColor="text1"/>
          <w:sz w:val="20"/>
          <w:szCs w:val="20"/>
          <w14:textFill>
            <w14:solidFill>
              <w14:schemeClr w14:val="tx1"/>
            </w14:solidFill>
          </w14:textFill>
        </w:rPr>
      </w:pPr>
      <w:r>
        <w:rPr>
          <w:rStyle w:val="362"/>
          <w:rFonts w:asciiTheme="majorHAnsi" w:hAnsiTheme="majorHAnsi" w:cstheme="majorHAnsi"/>
          <w:color w:val="152C46" w:themeColor="text1"/>
          <w:sz w:val="20"/>
          <w:szCs w:val="20"/>
          <w14:textFill>
            <w14:solidFill>
              <w14:schemeClr w14:val="tx1"/>
            </w14:solidFill>
          </w14:textFill>
        </w:rPr>
        <w:t xml:space="preserve">If at any time before the review hearing is held the Kaimahi-staff indicates that they do not wish to continue with the review, Howden Care will obtain confirmation from the Kaimahi-staff that they wish to withdraw their application for review and advise the ACC independent reviewer. </w:t>
      </w:r>
    </w:p>
    <w:p>
      <w:pPr>
        <w:pStyle w:val="8"/>
        <w:rPr>
          <w:rFonts w:cstheme="majorHAnsi"/>
        </w:rPr>
      </w:pPr>
      <w:bookmarkStart w:id="468" w:name="_Toc686222322"/>
      <w:bookmarkStart w:id="469" w:name="_Toc1219160063"/>
      <w:bookmarkStart w:id="470" w:name="_Toc101532371"/>
      <w:bookmarkStart w:id="471" w:name="_Toc1645119751"/>
      <w:bookmarkStart w:id="472" w:name="_Toc101453904"/>
      <w:bookmarkStart w:id="473" w:name="_Toc55515163"/>
      <w:r>
        <w:rPr>
          <w:rFonts w:cstheme="majorHAnsi"/>
        </w:rPr>
        <w:t>10.6.3</w:t>
      </w:r>
      <w:r>
        <w:rPr>
          <w:rFonts w:cstheme="majorHAnsi"/>
        </w:rPr>
        <w:tab/>
      </w:r>
      <w:bookmarkStart w:id="474" w:name="_Toc90388387"/>
      <w:bookmarkStart w:id="475" w:name="_Toc90394292"/>
      <w:r>
        <w:rPr>
          <w:rFonts w:cstheme="majorHAnsi"/>
        </w:rPr>
        <w:t>Review hearing</w:t>
      </w:r>
      <w:bookmarkEnd w:id="468"/>
      <w:bookmarkEnd w:id="469"/>
      <w:bookmarkEnd w:id="470"/>
      <w:bookmarkEnd w:id="471"/>
      <w:bookmarkEnd w:id="472"/>
      <w:bookmarkEnd w:id="473"/>
      <w:bookmarkEnd w:id="474"/>
      <w:bookmarkEnd w:id="475"/>
    </w:p>
    <w:p>
      <w:pPr>
        <w:pStyle w:val="5"/>
        <w:rPr>
          <w:rFonts w:asciiTheme="majorHAnsi" w:hAnsiTheme="majorHAnsi" w:cstheme="majorHAnsi"/>
        </w:rPr>
      </w:pPr>
      <w:r>
        <w:rPr>
          <w:rFonts w:asciiTheme="majorHAnsi" w:hAnsiTheme="majorHAnsi" w:cstheme="majorHAnsi"/>
        </w:rPr>
        <w:t>The independent reviewer will:</w:t>
      </w:r>
    </w:p>
    <w:p>
      <w:pPr>
        <w:pStyle w:val="292"/>
        <w:rPr>
          <w:rFonts w:asciiTheme="majorHAnsi" w:hAnsiTheme="majorHAnsi" w:cstheme="majorHAnsi"/>
        </w:rPr>
      </w:pPr>
      <w:r>
        <w:rPr>
          <w:rFonts w:asciiTheme="majorHAnsi" w:hAnsiTheme="majorHAnsi" w:cstheme="majorHAnsi"/>
        </w:rPr>
        <w:t>schedule and conduct the review hearing with the employee, their support person or representation if requested by the employee</w:t>
      </w:r>
      <w:r>
        <w:rPr>
          <w:rFonts w:asciiTheme="majorHAnsi" w:hAnsiTheme="majorHAnsi" w:cstheme="majorHAnsi"/>
          <w:color w:val="auto"/>
        </w:rPr>
        <w:t xml:space="preserve">,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and Howden Care as appropriate</w:t>
      </w:r>
    </w:p>
    <w:p>
      <w:pPr>
        <w:pStyle w:val="292"/>
        <w:rPr>
          <w:rFonts w:asciiTheme="majorHAnsi" w:hAnsiTheme="majorHAnsi" w:cstheme="majorHAnsi"/>
        </w:rPr>
      </w:pPr>
      <w:r>
        <w:rPr>
          <w:rFonts w:asciiTheme="majorHAnsi" w:hAnsiTheme="majorHAnsi" w:cstheme="majorHAnsi"/>
        </w:rPr>
        <w:t>provide a decision within 28 days of the hearing date</w:t>
      </w:r>
    </w:p>
    <w:p>
      <w:pPr>
        <w:pStyle w:val="5"/>
        <w:rPr>
          <w:rFonts w:asciiTheme="majorHAnsi" w:hAnsiTheme="majorHAnsi" w:cstheme="majorHAnsi"/>
        </w:rPr>
      </w:pPr>
      <w:r>
        <w:rPr>
          <w:rFonts w:asciiTheme="majorHAnsi" w:hAnsiTheme="majorHAnsi" w:cstheme="majorHAnsi"/>
        </w:rPr>
        <w:t xml:space="preserve">Howden Care and the University of Otago will action any decision recommendations. </w:t>
      </w:r>
    </w:p>
    <w:p>
      <w:pPr>
        <w:pStyle w:val="8"/>
        <w:rPr>
          <w:rFonts w:cstheme="majorHAnsi"/>
        </w:rPr>
      </w:pPr>
      <w:bookmarkStart w:id="476" w:name="_Toc101453905"/>
      <w:bookmarkStart w:id="477" w:name="_Toc101532372"/>
      <w:bookmarkStart w:id="478" w:name="_Toc1510702943"/>
      <w:bookmarkStart w:id="479" w:name="_Toc8579070"/>
      <w:bookmarkStart w:id="480" w:name="_Toc1648171655"/>
      <w:bookmarkStart w:id="481" w:name="_Toc658249664"/>
      <w:r>
        <w:rPr>
          <w:rFonts w:cstheme="majorHAnsi"/>
        </w:rPr>
        <w:t>10.6.4</w:t>
      </w:r>
      <w:r>
        <w:rPr>
          <w:rFonts w:cstheme="majorHAnsi"/>
        </w:rPr>
        <w:tab/>
      </w:r>
      <w:bookmarkStart w:id="482" w:name="_Toc90388388"/>
      <w:bookmarkStart w:id="483" w:name="_Toc90394293"/>
      <w:r>
        <w:rPr>
          <w:rFonts w:cstheme="majorHAnsi"/>
        </w:rPr>
        <w:t>Appeal</w:t>
      </w:r>
      <w:bookmarkEnd w:id="476"/>
      <w:bookmarkEnd w:id="477"/>
      <w:bookmarkEnd w:id="482"/>
      <w:bookmarkEnd w:id="483"/>
      <w:r>
        <w:rPr>
          <w:rFonts w:cstheme="majorHAnsi"/>
        </w:rPr>
        <w:t xml:space="preserve"> </w:t>
      </w:r>
      <w:bookmarkEnd w:id="478"/>
      <w:bookmarkEnd w:id="479"/>
      <w:bookmarkEnd w:id="480"/>
      <w:bookmarkEnd w:id="481"/>
    </w:p>
    <w:p>
      <w:pPr>
        <w:pStyle w:val="5"/>
        <w:rPr>
          <w:rFonts w:asciiTheme="majorHAnsi" w:hAnsiTheme="majorHAnsi" w:cstheme="majorHAnsi"/>
          <w:lang w:eastAsia="en-GB"/>
        </w:rPr>
      </w:pPr>
      <w:r>
        <w:rPr>
          <w:rFonts w:asciiTheme="majorHAnsi" w:hAnsiTheme="majorHAnsi" w:cstheme="majorHAnsi"/>
          <w:lang w:eastAsia="en-GB"/>
        </w:rPr>
        <w:t xml:space="preserve">Review decisions are binding on both parties. However, either party has the right to appeal the decision to the District Court. </w:t>
      </w:r>
    </w:p>
    <w:p>
      <w:pPr>
        <w:pStyle w:val="7"/>
        <w:rPr>
          <w:rFonts w:cstheme="majorHAnsi"/>
          <w:lang w:eastAsia="en-GB"/>
        </w:rPr>
      </w:pPr>
      <w:bookmarkStart w:id="484" w:name="_Toc389990564"/>
      <w:bookmarkStart w:id="485" w:name="_Toc667179541"/>
      <w:bookmarkStart w:id="486" w:name="_Toc101532373"/>
      <w:bookmarkStart w:id="487" w:name="_Toc90394294"/>
      <w:bookmarkStart w:id="488" w:name="_Toc90388389"/>
      <w:bookmarkStart w:id="489" w:name="_Toc101453906"/>
      <w:bookmarkStart w:id="490" w:name="_Toc349491754"/>
      <w:bookmarkStart w:id="491" w:name="_Toc1560441452"/>
      <w:r>
        <w:rPr>
          <w:rFonts w:cstheme="majorHAnsi"/>
          <w:lang w:eastAsia="en-GB"/>
        </w:rPr>
        <w:t>10.7</w:t>
      </w:r>
      <w:r>
        <w:rPr>
          <w:rFonts w:cstheme="majorHAnsi"/>
          <w:lang w:eastAsia="en-GB"/>
        </w:rPr>
        <w:tab/>
      </w:r>
      <w:r>
        <w:rPr>
          <w:rFonts w:cstheme="majorHAnsi"/>
          <w:lang w:eastAsia="en-GB"/>
        </w:rPr>
        <w:t>Evaluation of complaints and reviews</w:t>
      </w:r>
      <w:bookmarkEnd w:id="484"/>
      <w:bookmarkEnd w:id="485"/>
      <w:bookmarkEnd w:id="486"/>
      <w:bookmarkEnd w:id="487"/>
      <w:bookmarkEnd w:id="488"/>
      <w:bookmarkEnd w:id="489"/>
      <w:bookmarkEnd w:id="490"/>
      <w:bookmarkEnd w:id="491"/>
    </w:p>
    <w:p>
      <w:pPr>
        <w:pStyle w:val="5"/>
        <w:rPr>
          <w:rFonts w:asciiTheme="majorHAnsi" w:hAnsiTheme="majorHAnsi" w:cstheme="majorHAnsi"/>
        </w:rPr>
      </w:pPr>
      <w:r>
        <w:rPr>
          <w:rFonts w:asciiTheme="majorHAnsi" w:hAnsiTheme="majorHAnsi" w:cstheme="majorHAnsi"/>
        </w:rPr>
        <w:t xml:space="preserve">Howden Care and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will discuss all complaints and disputes as they arise and are managed to resolution. They will also be discussed at quarterly meetings between Howden Care and </w:t>
      </w:r>
      <w:r>
        <w:rPr>
          <w:rFonts w:ascii="Arial" w:hAnsi="Arial" w:cstheme="majorHAnsi"/>
          <w:color w:val="auto"/>
        </w:rPr>
        <w:t>University of Otago</w:t>
      </w:r>
      <w:r>
        <w:rPr>
          <w:rFonts w:asciiTheme="majorHAnsi" w:hAnsiTheme="majorHAnsi" w:cstheme="majorHAnsi"/>
          <w:color w:val="auto"/>
        </w:rPr>
        <w:t xml:space="preserve">. Annually a summary of all complaints and disputes will be provided by Howden Care to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for discussion. Review of complaint and dispute outcomes will take into consideration all relevant information, and any necessary changes to policy, processes, behaviour or programme direction will be implemented.</w:t>
      </w: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2"/>
        <w:rPr>
          <w:rFonts w:cstheme="majorHAnsi"/>
        </w:rPr>
      </w:pPr>
      <w:bookmarkStart w:id="492" w:name="_Toc282717362"/>
      <w:bookmarkStart w:id="493" w:name="_Toc90388390"/>
      <w:bookmarkStart w:id="494" w:name="_Toc90394295"/>
      <w:bookmarkStart w:id="495" w:name="_Toc101532374"/>
      <w:bookmarkStart w:id="496" w:name="_Toc1246662163"/>
      <w:bookmarkStart w:id="497" w:name="_Toc1050707334"/>
      <w:bookmarkStart w:id="498" w:name="_Toc101453907"/>
      <w:bookmarkStart w:id="499" w:name="_Toc1812628699"/>
      <w:r>
        <w:rPr>
          <w:rFonts w:cstheme="majorHAnsi"/>
        </w:rPr>
        <w:t>DATA REPORTING AND ADMINISTRATION</w:t>
      </w:r>
      <w:bookmarkEnd w:id="492"/>
      <w:bookmarkEnd w:id="493"/>
      <w:bookmarkEnd w:id="494"/>
      <w:bookmarkEnd w:id="495"/>
      <w:bookmarkEnd w:id="496"/>
      <w:bookmarkEnd w:id="497"/>
      <w:bookmarkEnd w:id="498"/>
      <w:bookmarkEnd w:id="499"/>
    </w:p>
    <w:p>
      <w:pPr>
        <w:pStyle w:val="7"/>
        <w:rPr>
          <w:rFonts w:cstheme="majorHAnsi"/>
        </w:rPr>
      </w:pPr>
      <w:bookmarkStart w:id="500" w:name="_Toc90394296"/>
      <w:bookmarkStart w:id="501" w:name="_Toc680933883"/>
      <w:bookmarkStart w:id="502" w:name="_Toc90388391"/>
      <w:bookmarkStart w:id="503" w:name="_Toc101453908"/>
      <w:bookmarkStart w:id="504" w:name="_Toc1145840734"/>
      <w:bookmarkStart w:id="505" w:name="_Toc1191872906"/>
      <w:bookmarkStart w:id="506" w:name="_Toc101532375"/>
      <w:bookmarkStart w:id="507" w:name="_Toc533930196"/>
      <w:r>
        <w:rPr>
          <w:rFonts w:cstheme="majorHAnsi"/>
        </w:rPr>
        <w:t>11.1</w:t>
      </w:r>
      <w:r>
        <w:rPr>
          <w:rFonts w:cstheme="majorHAnsi"/>
        </w:rPr>
        <w:tab/>
      </w:r>
      <w:r>
        <w:rPr>
          <w:rFonts w:cstheme="majorHAnsi"/>
        </w:rPr>
        <w:t>Data collection and reporting</w:t>
      </w:r>
      <w:bookmarkEnd w:id="500"/>
      <w:bookmarkEnd w:id="501"/>
      <w:bookmarkEnd w:id="502"/>
      <w:bookmarkEnd w:id="503"/>
      <w:bookmarkEnd w:id="504"/>
      <w:bookmarkEnd w:id="505"/>
      <w:bookmarkEnd w:id="506"/>
      <w:bookmarkEnd w:id="507"/>
    </w:p>
    <w:p>
      <w:pPr>
        <w:pStyle w:val="5"/>
        <w:rPr>
          <w:rFonts w:asciiTheme="majorHAnsi" w:hAnsiTheme="majorHAnsi" w:cstheme="majorHAnsi"/>
          <w:lang w:eastAsia="en-GB"/>
        </w:rPr>
      </w:pPr>
      <w:r>
        <w:rPr>
          <w:rFonts w:asciiTheme="majorHAnsi" w:hAnsiTheme="majorHAnsi" w:cstheme="majorHAnsi"/>
          <w:lang w:eastAsia="en-GB"/>
        </w:rPr>
        <w:t>Howden Care uses data collected from claims to:</w:t>
      </w:r>
    </w:p>
    <w:p>
      <w:pPr>
        <w:pStyle w:val="292"/>
        <w:numPr>
          <w:ilvl w:val="0"/>
          <w:numId w:val="17"/>
        </w:numPr>
        <w:rPr>
          <w:rFonts w:asciiTheme="majorHAnsi" w:hAnsiTheme="majorHAnsi" w:cstheme="majorHAnsi"/>
          <w:lang w:eastAsia="en-GB"/>
        </w:rPr>
      </w:pPr>
      <w:r>
        <w:rPr>
          <w:rFonts w:asciiTheme="majorHAnsi" w:hAnsiTheme="majorHAnsi" w:cstheme="majorHAnsi"/>
          <w:lang w:eastAsia="en-GB"/>
        </w:rPr>
        <w:t>Report trends and costs</w:t>
      </w:r>
    </w:p>
    <w:p>
      <w:pPr>
        <w:pStyle w:val="292"/>
        <w:numPr>
          <w:ilvl w:val="0"/>
          <w:numId w:val="17"/>
        </w:numPr>
        <w:rPr>
          <w:rFonts w:asciiTheme="majorHAnsi" w:hAnsiTheme="majorHAnsi" w:cstheme="majorHAnsi"/>
          <w:lang w:eastAsia="en-GB"/>
        </w:rPr>
      </w:pPr>
      <w:r>
        <w:rPr>
          <w:rFonts w:asciiTheme="majorHAnsi" w:hAnsiTheme="majorHAnsi" w:cstheme="majorHAnsi"/>
          <w:lang w:eastAsia="en-GB"/>
        </w:rPr>
        <w:t>To identify areas where reduction and/or injury prevention cost may be needed</w:t>
      </w:r>
    </w:p>
    <w:p>
      <w:pPr>
        <w:pStyle w:val="5"/>
        <w:rPr>
          <w:rFonts w:asciiTheme="majorHAnsi" w:hAnsiTheme="majorHAnsi" w:cstheme="majorHAnsi"/>
          <w:highlight w:val="yellow"/>
          <w:lang w:eastAsia="en-GB"/>
        </w:rPr>
      </w:pPr>
      <w:r>
        <w:rPr>
          <w:rFonts w:asciiTheme="majorHAnsi" w:hAnsiTheme="majorHAnsi" w:cstheme="majorHAnsi"/>
          <w:lang w:eastAsia="en-GB"/>
        </w:rPr>
        <w:t xml:space="preserve">Claims data is held in Howden Care’s electronic claims management system. Data in this system is kept secure (password protected), complies with the Privacy Act 2020 and the Health Information Act 2020 and is restricted to designated personnel. </w:t>
      </w:r>
    </w:p>
    <w:p>
      <w:pPr>
        <w:pStyle w:val="5"/>
        <w:rPr>
          <w:rFonts w:asciiTheme="majorHAnsi" w:hAnsiTheme="majorHAnsi" w:cstheme="majorHAnsi"/>
        </w:rPr>
      </w:pPr>
      <w:r>
        <w:rPr>
          <w:rFonts w:asciiTheme="majorHAnsi" w:hAnsiTheme="majorHAnsi" w:cstheme="majorHAnsi"/>
          <w:lang w:eastAsia="en-GB"/>
        </w:rPr>
        <w:t xml:space="preserve">Howden Care reports to ACC on </w:t>
      </w:r>
      <w:r>
        <w:rPr>
          <w:rFonts w:ascii="Arial" w:hAnsi="Arial" w:cstheme="majorHAnsi"/>
          <w:color w:val="auto"/>
          <w:lang w:eastAsia="en-GB"/>
        </w:rPr>
        <w:t>University of Otago</w:t>
      </w:r>
      <w:r>
        <w:rPr>
          <w:rFonts w:asciiTheme="majorHAnsi" w:hAnsiTheme="majorHAnsi" w:cstheme="majorHAnsi"/>
          <w:color w:val="auto"/>
          <w:lang w:eastAsia="en-GB"/>
        </w:rPr>
        <w:t xml:space="preserve">’s </w:t>
      </w:r>
      <w:r>
        <w:rPr>
          <w:rFonts w:asciiTheme="majorHAnsi" w:hAnsiTheme="majorHAnsi" w:cstheme="majorHAnsi"/>
          <w:lang w:eastAsia="en-GB"/>
        </w:rPr>
        <w:t xml:space="preserve">behalf every month via My ACC for Business. The Business Administrator is accountable for transferring data to ACC no later than the fifth working day of each month. If the Business Administrator is absent, other Howden Care staff will do this. A dummy report is created to check for any errors and correct them before the data is transferred via the My ACC for Business portal. If there are any errors found by ACC these will be corrected and re-submitted to ACC prior to the third week of the month. </w:t>
      </w:r>
    </w:p>
    <w:p>
      <w:pPr>
        <w:pStyle w:val="5"/>
        <w:rPr>
          <w:rFonts w:asciiTheme="majorHAnsi" w:hAnsiTheme="majorHAnsi" w:cstheme="majorHAnsi"/>
        </w:rPr>
      </w:pPr>
      <w:r>
        <w:rPr>
          <w:rFonts w:asciiTheme="majorHAnsi" w:hAnsiTheme="majorHAnsi" w:cstheme="majorHAnsi"/>
        </w:rPr>
        <w:t xml:space="preserve">The data is backed up daily by Salesforce (the vendor supplying the claims management system). Back up data is available for 90 days and can be accessed by Howden Care at any time. </w:t>
      </w:r>
    </w:p>
    <w:p>
      <w:pPr>
        <w:pStyle w:val="5"/>
        <w:rPr>
          <w:rFonts w:asciiTheme="majorHAnsi" w:hAnsiTheme="majorHAnsi" w:cstheme="majorHAnsi"/>
        </w:rPr>
      </w:pPr>
      <w:r>
        <w:rPr>
          <w:rFonts w:asciiTheme="majorHAnsi" w:hAnsiTheme="majorHAnsi" w:cstheme="majorHAnsi"/>
        </w:rPr>
        <w:t>Technical support of the claims management system is provided by Salesforce.</w:t>
      </w:r>
    </w:p>
    <w:p>
      <w:pPr>
        <w:pStyle w:val="7"/>
        <w:rPr>
          <w:rFonts w:cstheme="majorHAnsi"/>
        </w:rPr>
      </w:pPr>
      <w:bookmarkStart w:id="508" w:name="_Toc101453909"/>
      <w:bookmarkStart w:id="509" w:name="_Toc101532376"/>
      <w:r>
        <w:rPr>
          <w:rFonts w:cstheme="majorHAnsi"/>
        </w:rPr>
        <w:t>11.2</w:t>
      </w:r>
      <w:r>
        <w:rPr>
          <w:rFonts w:cstheme="majorHAnsi"/>
        </w:rPr>
        <w:tab/>
      </w:r>
      <w:r>
        <w:rPr>
          <w:rFonts w:cstheme="majorHAnsi"/>
        </w:rPr>
        <w:t>Retention and Disposal of Claim Files</w:t>
      </w:r>
      <w:bookmarkEnd w:id="508"/>
      <w:bookmarkEnd w:id="509"/>
    </w:p>
    <w:p>
      <w:pPr>
        <w:pStyle w:val="5"/>
        <w:rPr>
          <w:rFonts w:asciiTheme="majorHAnsi" w:hAnsiTheme="majorHAnsi" w:cstheme="majorHAnsi"/>
          <w:color w:val="auto"/>
        </w:rPr>
      </w:pPr>
      <w:r>
        <w:rPr>
          <w:rFonts w:asciiTheme="majorHAnsi" w:hAnsiTheme="majorHAnsi" w:cstheme="majorHAnsi"/>
        </w:rPr>
        <w:t xml:space="preserve">Howden Care </w:t>
      </w:r>
      <w:r>
        <w:rPr>
          <w:rFonts w:asciiTheme="majorHAnsi" w:hAnsiTheme="majorHAnsi" w:cstheme="majorHAnsi"/>
          <w:color w:val="auto"/>
        </w:rPr>
        <w:t xml:space="preserve">and </w:t>
      </w:r>
      <w:r>
        <w:rPr>
          <w:rFonts w:ascii="Arial" w:hAnsi="Arial" w:cstheme="majorHAnsi"/>
          <w:color w:val="auto"/>
        </w:rPr>
        <w:t>University of Otago</w:t>
      </w:r>
      <w:r>
        <w:rPr>
          <w:rFonts w:asciiTheme="majorHAnsi" w:hAnsiTheme="majorHAnsi" w:cstheme="majorHAnsi"/>
          <w:color w:val="auto"/>
        </w:rPr>
        <w:t xml:space="preserve"> manage claim files in accordance with ACC’s Disposal Authority and </w:t>
      </w:r>
      <w:r>
        <w:rPr>
          <w:rFonts w:ascii="Arial" w:hAnsi="Arial" w:cstheme="majorHAnsi"/>
          <w:color w:val="auto"/>
        </w:rPr>
        <w:t>University of Otago</w:t>
      </w:r>
      <w:r>
        <w:rPr>
          <w:rFonts w:asciiTheme="majorHAnsi" w:hAnsiTheme="majorHAnsi" w:cstheme="majorHAnsi"/>
          <w:color w:val="auto"/>
        </w:rPr>
        <w:t>’s Accreditation Agreement. Claim files are not destroyed without ACC’s approval.</w:t>
      </w:r>
    </w:p>
    <w:p>
      <w:pPr>
        <w:pStyle w:val="5"/>
        <w:rPr>
          <w:rFonts w:asciiTheme="majorHAnsi" w:hAnsiTheme="majorHAnsi" w:cstheme="majorHAnsi"/>
          <w:color w:val="auto"/>
        </w:rPr>
      </w:pPr>
      <w:r>
        <w:rPr>
          <w:rFonts w:asciiTheme="majorHAnsi" w:hAnsiTheme="majorHAnsi" w:cstheme="majorHAnsi"/>
          <w:color w:val="auto"/>
        </w:rPr>
        <w:t>ACC’s directive (ACC5804) on ‘Retention and Disposal of claim files’ provides details on how long a claim file is retained and the actions required before they can be destroyed.</w:t>
      </w:r>
    </w:p>
    <w:p>
      <w:pPr>
        <w:pStyle w:val="7"/>
        <w:rPr>
          <w:rFonts w:cstheme="majorHAnsi"/>
          <w:color w:val="auto"/>
        </w:rPr>
      </w:pPr>
      <w:bookmarkStart w:id="510" w:name="_Toc817774059"/>
      <w:bookmarkStart w:id="511" w:name="_Toc90394298"/>
      <w:bookmarkStart w:id="512" w:name="_Toc1618179563"/>
      <w:bookmarkStart w:id="513" w:name="_Toc42309315"/>
      <w:bookmarkStart w:id="514" w:name="_Toc90388393"/>
      <w:bookmarkStart w:id="515" w:name="_Toc101532377"/>
      <w:bookmarkStart w:id="516" w:name="_Toc31107583"/>
      <w:bookmarkStart w:id="517" w:name="_Toc101453910"/>
      <w:r>
        <w:rPr>
          <w:rFonts w:cstheme="majorHAnsi"/>
          <w:color w:val="auto"/>
        </w:rPr>
        <w:t>11.3</w:t>
      </w:r>
      <w:r>
        <w:rPr>
          <w:rFonts w:cstheme="majorHAnsi"/>
          <w:color w:val="auto"/>
        </w:rPr>
        <w:tab/>
      </w:r>
      <w:r>
        <w:rPr>
          <w:rFonts w:cstheme="majorHAnsi"/>
          <w:color w:val="auto"/>
        </w:rPr>
        <w:t>Fraud</w:t>
      </w:r>
      <w:bookmarkEnd w:id="510"/>
      <w:bookmarkEnd w:id="511"/>
      <w:bookmarkEnd w:id="512"/>
      <w:bookmarkEnd w:id="513"/>
      <w:bookmarkEnd w:id="514"/>
      <w:bookmarkEnd w:id="515"/>
      <w:bookmarkEnd w:id="516"/>
      <w:bookmarkEnd w:id="517"/>
    </w:p>
    <w:p>
      <w:pPr>
        <w:pStyle w:val="5"/>
        <w:rPr>
          <w:rFonts w:asciiTheme="majorHAnsi" w:hAnsiTheme="majorHAnsi" w:cstheme="majorHAnsi"/>
        </w:rPr>
      </w:pPr>
      <w:r>
        <w:rPr>
          <w:rFonts w:ascii="Arial" w:hAnsi="Arial" w:cstheme="majorHAnsi"/>
          <w:color w:val="auto"/>
          <w:lang w:eastAsia="en-GB"/>
        </w:rPr>
        <w:t>University of Otago</w:t>
      </w:r>
      <w:r>
        <w:rPr>
          <w:rFonts w:asciiTheme="majorHAnsi" w:hAnsiTheme="majorHAnsi" w:cstheme="majorHAnsi"/>
          <w:color w:val="auto"/>
          <w:lang w:eastAsia="en-GB"/>
        </w:rPr>
        <w:t xml:space="preserve"> </w:t>
      </w:r>
      <w:r>
        <w:rPr>
          <w:rFonts w:asciiTheme="majorHAnsi" w:hAnsiTheme="majorHAnsi" w:cstheme="majorHAnsi"/>
          <w:lang w:eastAsia="en-GB"/>
        </w:rPr>
        <w:t>and Howden Care will</w:t>
      </w:r>
      <w:r>
        <w:rPr>
          <w:rFonts w:asciiTheme="majorHAnsi" w:hAnsiTheme="majorHAnsi" w:cstheme="majorHAnsi"/>
        </w:rPr>
        <w:t xml:space="preserve"> be aware of and monitor each claim for potentially fraudulent activity. Triggers may include:</w:t>
      </w:r>
    </w:p>
    <w:p>
      <w:pPr>
        <w:pStyle w:val="292"/>
        <w:rPr>
          <w:rFonts w:asciiTheme="majorHAnsi" w:hAnsiTheme="majorHAnsi" w:cstheme="majorHAnsi"/>
        </w:rPr>
      </w:pPr>
      <w:r>
        <w:rPr>
          <w:rFonts w:asciiTheme="majorHAnsi" w:hAnsiTheme="majorHAnsi" w:cstheme="majorHAnsi"/>
        </w:rPr>
        <w:t>Repeated difficulty contacting the injured person</w:t>
      </w:r>
    </w:p>
    <w:p>
      <w:pPr>
        <w:pStyle w:val="292"/>
        <w:rPr>
          <w:rFonts w:asciiTheme="majorHAnsi" w:hAnsiTheme="majorHAnsi" w:cstheme="majorHAnsi"/>
        </w:rPr>
      </w:pPr>
      <w:r>
        <w:rPr>
          <w:rFonts w:asciiTheme="majorHAnsi" w:hAnsiTheme="majorHAnsi" w:cstheme="majorHAnsi"/>
        </w:rPr>
        <w:t>Significant claims history</w:t>
      </w:r>
    </w:p>
    <w:p>
      <w:pPr>
        <w:pStyle w:val="292"/>
        <w:rPr>
          <w:rFonts w:asciiTheme="majorHAnsi" w:hAnsiTheme="majorHAnsi" w:cstheme="majorHAnsi"/>
        </w:rPr>
      </w:pPr>
      <w:r>
        <w:rPr>
          <w:rFonts w:asciiTheme="majorHAnsi" w:hAnsiTheme="majorHAnsi" w:cstheme="majorHAnsi"/>
        </w:rPr>
        <w:t>Other conditions that may impact on recovery</w:t>
      </w:r>
    </w:p>
    <w:p>
      <w:pPr>
        <w:pStyle w:val="292"/>
        <w:rPr>
          <w:rFonts w:asciiTheme="majorHAnsi" w:hAnsiTheme="majorHAnsi" w:cstheme="majorHAnsi"/>
        </w:rPr>
      </w:pPr>
      <w:r>
        <w:rPr>
          <w:rFonts w:asciiTheme="majorHAnsi" w:hAnsiTheme="majorHAnsi" w:cstheme="majorHAnsi"/>
        </w:rPr>
        <w:t>Inappropriate emphasis on entitlement and blame for an injury</w:t>
      </w:r>
    </w:p>
    <w:p>
      <w:pPr>
        <w:pStyle w:val="292"/>
        <w:rPr>
          <w:rFonts w:asciiTheme="majorHAnsi" w:hAnsiTheme="majorHAnsi" w:cstheme="majorHAnsi"/>
        </w:rPr>
      </w:pPr>
      <w:r>
        <w:rPr>
          <w:rFonts w:asciiTheme="majorHAnsi" w:hAnsiTheme="majorHAnsi" w:cstheme="majorHAnsi"/>
        </w:rPr>
        <w:t>Use of a number of different treatment providers</w:t>
      </w:r>
    </w:p>
    <w:p>
      <w:pPr>
        <w:pStyle w:val="292"/>
        <w:rPr>
          <w:rFonts w:asciiTheme="majorHAnsi" w:hAnsiTheme="majorHAnsi" w:cstheme="majorHAnsi"/>
        </w:rPr>
      </w:pPr>
      <w:r>
        <w:rPr>
          <w:rFonts w:asciiTheme="majorHAnsi" w:hAnsiTheme="majorHAnsi" w:cstheme="majorHAnsi"/>
        </w:rPr>
        <w:t>Reports of activity inconsistent with medical certification</w:t>
      </w:r>
    </w:p>
    <w:p>
      <w:pPr>
        <w:pStyle w:val="292"/>
        <w:rPr>
          <w:rFonts w:asciiTheme="majorHAnsi" w:hAnsiTheme="majorHAnsi" w:cstheme="majorHAnsi"/>
        </w:rPr>
      </w:pPr>
      <w:r>
        <w:rPr>
          <w:rFonts w:asciiTheme="majorHAnsi" w:hAnsiTheme="majorHAnsi" w:cstheme="majorHAnsi"/>
        </w:rPr>
        <w:t>Identification of treatment provider behaviour suggestive of possible fraudulent activity. For example, provider invoices being submitted to both the accredited employer and ACC for payment</w:t>
      </w:r>
    </w:p>
    <w:p>
      <w:pPr>
        <w:pStyle w:val="9"/>
        <w:rPr>
          <w:rFonts w:cstheme="majorHAnsi"/>
        </w:rPr>
      </w:pPr>
      <w:r>
        <w:rPr>
          <w:rFonts w:cstheme="majorHAnsi"/>
        </w:rPr>
        <w:t>Do’s and don’ts when identifying and dealing with a potential fraud situation:</w:t>
      </w:r>
    </w:p>
    <w:p>
      <w:pPr>
        <w:pStyle w:val="9"/>
        <w:rPr>
          <w:rFonts w:cstheme="majorHAnsi"/>
        </w:rPr>
      </w:pPr>
      <w:r>
        <w:rPr>
          <w:rFonts w:cstheme="majorHAnsi"/>
        </w:rPr>
        <w:t>Do:</w:t>
      </w:r>
    </w:p>
    <w:p>
      <w:pPr>
        <w:pStyle w:val="292"/>
        <w:rPr>
          <w:rFonts w:asciiTheme="majorHAnsi" w:hAnsiTheme="majorHAnsi" w:cstheme="majorHAnsi"/>
        </w:rPr>
      </w:pPr>
      <w:r>
        <w:rPr>
          <w:rFonts w:asciiTheme="majorHAnsi" w:hAnsiTheme="majorHAnsi" w:cstheme="majorHAnsi"/>
        </w:rPr>
        <w:t>Be aware of the fraud triggers</w:t>
      </w:r>
    </w:p>
    <w:p>
      <w:pPr>
        <w:pStyle w:val="292"/>
        <w:rPr>
          <w:rFonts w:asciiTheme="majorHAnsi" w:hAnsiTheme="majorHAnsi" w:cstheme="majorHAnsi"/>
        </w:rPr>
      </w:pPr>
      <w:r>
        <w:rPr>
          <w:rFonts w:asciiTheme="majorHAnsi" w:hAnsiTheme="majorHAnsi" w:cstheme="majorHAnsi"/>
        </w:rPr>
        <w:t>Keep an open mind as to what might have happened</w:t>
      </w:r>
    </w:p>
    <w:p>
      <w:pPr>
        <w:pStyle w:val="292"/>
        <w:rPr>
          <w:rFonts w:asciiTheme="majorHAnsi" w:hAnsiTheme="majorHAnsi" w:cstheme="majorHAnsi"/>
        </w:rPr>
      </w:pPr>
      <w:r>
        <w:rPr>
          <w:rFonts w:asciiTheme="majorHAnsi" w:hAnsiTheme="majorHAnsi" w:cstheme="majorHAnsi"/>
        </w:rPr>
        <w:t>Ensure there is appropriate documentation on the file to support all claim payments made</w:t>
      </w:r>
    </w:p>
    <w:p>
      <w:pPr>
        <w:pStyle w:val="292"/>
        <w:rPr>
          <w:rFonts w:asciiTheme="majorHAnsi" w:hAnsiTheme="majorHAnsi" w:cstheme="majorHAnsi"/>
        </w:rPr>
      </w:pPr>
      <w:r>
        <w:rPr>
          <w:rFonts w:asciiTheme="majorHAnsi" w:hAnsiTheme="majorHAnsi" w:cstheme="majorHAnsi"/>
        </w:rPr>
        <w:t>Consider engaging a professional investigation service provider so as to preserve the objectivity of the process</w:t>
      </w:r>
    </w:p>
    <w:p>
      <w:pPr>
        <w:pStyle w:val="292"/>
        <w:rPr>
          <w:rFonts w:asciiTheme="majorHAnsi" w:hAnsiTheme="majorHAnsi" w:cstheme="majorHAnsi"/>
        </w:rPr>
      </w:pPr>
      <w:r>
        <w:rPr>
          <w:rFonts w:asciiTheme="majorHAnsi" w:hAnsiTheme="majorHAnsi" w:cstheme="majorHAnsi"/>
        </w:rPr>
        <w:t>Ensure your fraud investigation policies and procedures are current</w:t>
      </w:r>
    </w:p>
    <w:p>
      <w:pPr>
        <w:pStyle w:val="292"/>
        <w:rPr>
          <w:rFonts w:asciiTheme="majorHAnsi" w:hAnsiTheme="majorHAnsi" w:cstheme="majorHAnsi"/>
        </w:rPr>
      </w:pPr>
      <w:r>
        <w:rPr>
          <w:rFonts w:asciiTheme="majorHAnsi" w:hAnsiTheme="majorHAnsi" w:cstheme="majorHAnsi"/>
        </w:rPr>
        <w:t>Keep any investigation process quite separate from the injured employee’s ongoing injury and claims management</w:t>
      </w:r>
    </w:p>
    <w:p>
      <w:pPr>
        <w:pStyle w:val="292"/>
        <w:rPr>
          <w:rFonts w:asciiTheme="majorHAnsi" w:hAnsiTheme="majorHAnsi" w:cstheme="majorHAnsi"/>
        </w:rPr>
      </w:pPr>
      <w:r>
        <w:rPr>
          <w:rFonts w:asciiTheme="majorHAnsi" w:hAnsiTheme="majorHAnsi" w:cstheme="majorHAnsi"/>
        </w:rPr>
        <w:t>Get in touch with the ACC Integrity Service Team if you need advice</w:t>
      </w:r>
    </w:p>
    <w:p>
      <w:pPr>
        <w:pStyle w:val="9"/>
        <w:rPr>
          <w:rFonts w:cstheme="majorHAnsi"/>
        </w:rPr>
      </w:pPr>
      <w:r>
        <w:rPr>
          <w:rFonts w:cstheme="majorHAnsi"/>
        </w:rPr>
        <w:t>Don’t:</w:t>
      </w:r>
    </w:p>
    <w:p>
      <w:pPr>
        <w:pStyle w:val="292"/>
        <w:numPr>
          <w:ilvl w:val="0"/>
          <w:numId w:val="18"/>
        </w:numPr>
        <w:rPr>
          <w:rFonts w:asciiTheme="majorHAnsi" w:hAnsiTheme="majorHAnsi" w:cstheme="majorHAnsi"/>
        </w:rPr>
      </w:pPr>
      <w:r>
        <w:rPr>
          <w:rFonts w:asciiTheme="majorHAnsi" w:hAnsiTheme="majorHAnsi" w:cstheme="majorHAnsi"/>
        </w:rPr>
        <w:t>Do nothing – ACC fraud can only be reduced through positive and appropriate action</w:t>
      </w:r>
    </w:p>
    <w:p>
      <w:pPr>
        <w:pStyle w:val="292"/>
        <w:numPr>
          <w:ilvl w:val="0"/>
          <w:numId w:val="18"/>
        </w:numPr>
        <w:rPr>
          <w:rFonts w:asciiTheme="majorHAnsi" w:hAnsiTheme="majorHAnsi" w:cstheme="majorHAnsi"/>
        </w:rPr>
      </w:pPr>
      <w:r>
        <w:rPr>
          <w:rFonts w:asciiTheme="majorHAnsi" w:hAnsiTheme="majorHAnsi" w:cstheme="majorHAnsi"/>
        </w:rPr>
        <w:t>Predetermine – give your employees the benefit of the doubt until evidence of fraud is established</w:t>
      </w:r>
    </w:p>
    <w:p>
      <w:pPr>
        <w:pStyle w:val="292"/>
        <w:numPr>
          <w:ilvl w:val="0"/>
          <w:numId w:val="18"/>
        </w:numPr>
        <w:rPr>
          <w:rFonts w:asciiTheme="majorHAnsi" w:hAnsiTheme="majorHAnsi" w:cstheme="majorHAnsi"/>
        </w:rPr>
      </w:pPr>
      <w:r>
        <w:rPr>
          <w:rFonts w:asciiTheme="majorHAnsi" w:hAnsiTheme="majorHAnsi" w:cstheme="majorHAnsi"/>
        </w:rPr>
        <w:t>Ignore your HR policies relating to disciplinary or dismissal procedures</w:t>
      </w:r>
    </w:p>
    <w:p>
      <w:pPr>
        <w:pStyle w:val="292"/>
        <w:numPr>
          <w:ilvl w:val="0"/>
          <w:numId w:val="18"/>
        </w:numPr>
        <w:rPr>
          <w:rFonts w:asciiTheme="majorHAnsi" w:hAnsiTheme="majorHAnsi" w:cstheme="majorHAnsi"/>
        </w:rPr>
      </w:pPr>
      <w:r>
        <w:rPr>
          <w:rFonts w:asciiTheme="majorHAnsi" w:hAnsiTheme="majorHAnsi" w:cstheme="majorHAnsi"/>
        </w:rPr>
        <w:t>Interview an Kaimahi-staff without another staff member being present</w:t>
      </w:r>
    </w:p>
    <w:p>
      <w:pPr>
        <w:pStyle w:val="292"/>
        <w:numPr>
          <w:ilvl w:val="0"/>
          <w:numId w:val="18"/>
        </w:numPr>
        <w:rPr>
          <w:rFonts w:asciiTheme="majorHAnsi" w:hAnsiTheme="majorHAnsi" w:cstheme="majorHAnsi"/>
        </w:rPr>
      </w:pPr>
      <w:r>
        <w:rPr>
          <w:rFonts w:asciiTheme="majorHAnsi" w:hAnsiTheme="majorHAnsi" w:cstheme="majorHAnsi"/>
        </w:rPr>
        <w:t>Investigate an allegation of ACC fraud in a manner that could jeopardise your ability to fairly remediate an outcome</w:t>
      </w:r>
    </w:p>
    <w:p>
      <w:pPr>
        <w:pStyle w:val="5"/>
        <w:rPr>
          <w:rFonts w:asciiTheme="majorHAnsi" w:hAnsiTheme="majorHAnsi" w:cstheme="majorHAnsi"/>
        </w:rPr>
      </w:pPr>
      <w:r>
        <w:rPr>
          <w:rFonts w:asciiTheme="majorHAnsi" w:hAnsiTheme="majorHAnsi" w:cstheme="majorHAnsi"/>
        </w:rPr>
        <w:t xml:space="preserve">If fraud is suspected, all rehabilitation will continue as per the IRP until investigations are complete. The case owner will not be involved in any investigation and there will be a separate record from the claim. </w:t>
      </w:r>
      <w:r>
        <w:rPr>
          <w:rFonts w:ascii="Arial" w:hAnsi="Arial" w:cstheme="majorHAnsi"/>
          <w:color w:val="auto"/>
        </w:rPr>
        <w:t>University of Otago</w:t>
      </w:r>
      <w:r>
        <w:rPr>
          <w:rFonts w:asciiTheme="majorHAnsi" w:hAnsiTheme="majorHAnsi" w:cstheme="majorHAnsi"/>
          <w:color w:val="auto"/>
        </w:rPr>
        <w:t xml:space="preserve"> </w:t>
      </w:r>
      <w:r>
        <w:rPr>
          <w:rFonts w:asciiTheme="majorHAnsi" w:hAnsiTheme="majorHAnsi" w:cstheme="majorHAnsi"/>
        </w:rPr>
        <w:t xml:space="preserve">and the Howden Care Fraud Manager will manage the fraud process and if advice is needed about suspected fraud or inappropriate claims activity, they will seek early advice from the ACC Integrity Services at </w:t>
      </w:r>
      <w:r>
        <w:fldChar w:fldCharType="begin"/>
      </w:r>
      <w:r>
        <w:instrText xml:space="preserve"> HYPERLINK "mailto:accintergity.insight@acc.co.nz" \h </w:instrText>
      </w:r>
      <w:r>
        <w:fldChar w:fldCharType="separate"/>
      </w:r>
      <w:r>
        <w:rPr>
          <w:rStyle w:val="55"/>
          <w:rFonts w:asciiTheme="majorHAnsi" w:hAnsiTheme="majorHAnsi" w:cstheme="majorHAnsi"/>
        </w:rPr>
        <w:t>accintegrity.insight@acc.co.nz</w:t>
      </w:r>
      <w:r>
        <w:rPr>
          <w:rStyle w:val="55"/>
          <w:rFonts w:asciiTheme="majorHAnsi" w:hAnsiTheme="majorHAnsi" w:cstheme="majorHAnsi"/>
        </w:rPr>
        <w:fldChar w:fldCharType="end"/>
      </w:r>
      <w:r>
        <w:rPr>
          <w:rFonts w:asciiTheme="majorHAnsi" w:hAnsiTheme="majorHAnsi" w:cstheme="majorHAnsi"/>
        </w:rPr>
        <w:t xml:space="preserve">. The fraud process can be found here </w:t>
      </w:r>
      <w:r>
        <w:fldChar w:fldCharType="begin"/>
      </w:r>
      <w:r>
        <w:instrText xml:space="preserve"> HYPERLINK \l "_Appendix_6_Fraud" \h </w:instrText>
      </w:r>
      <w:r>
        <w:fldChar w:fldCharType="separate"/>
      </w:r>
      <w:r>
        <w:rPr>
          <w:rStyle w:val="55"/>
          <w:rFonts w:asciiTheme="majorHAnsi" w:hAnsiTheme="majorHAnsi" w:cstheme="majorHAnsi"/>
        </w:rPr>
        <w:t>Appendix 6 Fraud Process</w:t>
      </w:r>
      <w:r>
        <w:rPr>
          <w:rStyle w:val="55"/>
          <w:rFonts w:asciiTheme="majorHAnsi" w:hAnsiTheme="majorHAnsi" w:cstheme="majorHAnsi"/>
        </w:rPr>
        <w:fldChar w:fldCharType="end"/>
      </w:r>
      <w:r>
        <w:rPr>
          <w:rFonts w:asciiTheme="majorHAnsi" w:hAnsiTheme="majorHAnsi" w:cstheme="majorHAnsi"/>
        </w:rPr>
        <w:t>.</w:t>
      </w:r>
    </w:p>
    <w:p>
      <w:pPr>
        <w:pStyle w:val="7"/>
        <w:rPr>
          <w:rFonts w:cstheme="majorHAnsi"/>
        </w:rPr>
      </w:pPr>
      <w:bookmarkStart w:id="518" w:name="_Toc90388394"/>
      <w:bookmarkStart w:id="519" w:name="_Toc90394299"/>
      <w:bookmarkStart w:id="520" w:name="_Toc160912596"/>
      <w:bookmarkStart w:id="521" w:name="_Toc410863610"/>
      <w:bookmarkStart w:id="522" w:name="_Toc133999543"/>
      <w:bookmarkStart w:id="523" w:name="_Toc1925736377"/>
      <w:bookmarkStart w:id="524" w:name="_Toc101453911"/>
      <w:bookmarkStart w:id="525" w:name="_Toc101532378"/>
      <w:r>
        <w:rPr>
          <w:rFonts w:cstheme="majorHAnsi"/>
        </w:rPr>
        <w:t>11.4</w:t>
      </w:r>
      <w:r>
        <w:rPr>
          <w:rFonts w:cstheme="majorHAnsi"/>
        </w:rPr>
        <w:tab/>
      </w:r>
      <w:r>
        <w:rPr>
          <w:rFonts w:cstheme="majorHAnsi"/>
        </w:rPr>
        <w:t>Liaison with ACC</w:t>
      </w:r>
      <w:bookmarkEnd w:id="518"/>
      <w:bookmarkEnd w:id="519"/>
      <w:bookmarkEnd w:id="520"/>
      <w:bookmarkEnd w:id="521"/>
      <w:bookmarkEnd w:id="522"/>
      <w:bookmarkEnd w:id="523"/>
      <w:bookmarkEnd w:id="524"/>
      <w:bookmarkEnd w:id="525"/>
    </w:p>
    <w:p>
      <w:pPr>
        <w:pStyle w:val="8"/>
        <w:rPr>
          <w:rFonts w:cstheme="majorHAnsi"/>
        </w:rPr>
      </w:pPr>
      <w:bookmarkStart w:id="526" w:name="_Toc90388395"/>
      <w:bookmarkStart w:id="527" w:name="_Toc1192318240"/>
      <w:bookmarkStart w:id="528" w:name="_Toc1773594848"/>
      <w:bookmarkStart w:id="529" w:name="_Toc101453912"/>
      <w:bookmarkStart w:id="530" w:name="_Toc101532379"/>
      <w:bookmarkStart w:id="531" w:name="_Toc1866128113"/>
      <w:bookmarkStart w:id="532" w:name="_Toc1269217390"/>
      <w:bookmarkStart w:id="533" w:name="_Toc90394300"/>
      <w:r>
        <w:rPr>
          <w:rFonts w:cstheme="majorHAnsi"/>
        </w:rPr>
        <w:t>11.4.1</w:t>
      </w:r>
      <w:r>
        <w:rPr>
          <w:rFonts w:cstheme="majorHAnsi"/>
        </w:rPr>
        <w:tab/>
      </w:r>
      <w:r>
        <w:rPr>
          <w:rFonts w:cstheme="majorHAnsi"/>
        </w:rPr>
        <w:t>Sensitive, serious injury and fatal claims</w:t>
      </w:r>
      <w:bookmarkEnd w:id="526"/>
      <w:bookmarkEnd w:id="527"/>
      <w:bookmarkEnd w:id="528"/>
      <w:bookmarkEnd w:id="529"/>
      <w:bookmarkEnd w:id="530"/>
      <w:bookmarkEnd w:id="531"/>
      <w:bookmarkEnd w:id="532"/>
      <w:bookmarkEnd w:id="533"/>
    </w:p>
    <w:p>
      <w:pPr>
        <w:pStyle w:val="5"/>
        <w:rPr>
          <w:rFonts w:asciiTheme="majorHAnsi" w:hAnsiTheme="majorHAnsi" w:cstheme="majorHAnsi"/>
          <w:lang w:eastAsia="en-GB"/>
        </w:rPr>
      </w:pPr>
      <w:r>
        <w:rPr>
          <w:rFonts w:asciiTheme="majorHAnsi" w:hAnsiTheme="majorHAnsi" w:cstheme="majorHAnsi"/>
          <w:lang w:eastAsia="en-GB"/>
        </w:rPr>
        <w:t>If a sensitive injury, serious injury, significantly complex injury or fatal claim is made, insert title will be the single point of contact with ACC. They will ensure decisions and management follow ACC guidelines.</w:t>
      </w:r>
    </w:p>
    <w:p>
      <w:pPr>
        <w:pStyle w:val="8"/>
        <w:rPr>
          <w:rFonts w:cstheme="majorHAnsi"/>
        </w:rPr>
      </w:pPr>
      <w:bookmarkStart w:id="534" w:name="_Toc797336439"/>
      <w:bookmarkStart w:id="535" w:name="_Toc90394301"/>
      <w:bookmarkStart w:id="536" w:name="_Toc622423023"/>
      <w:bookmarkStart w:id="537" w:name="_Toc101453913"/>
      <w:bookmarkStart w:id="538" w:name="_Toc1818500536"/>
      <w:bookmarkStart w:id="539" w:name="_Toc101532380"/>
      <w:bookmarkStart w:id="540" w:name="_Toc90388396"/>
      <w:bookmarkStart w:id="541" w:name="_Toc2023970292"/>
      <w:r>
        <w:rPr>
          <w:rFonts w:cstheme="majorHAnsi"/>
        </w:rPr>
        <w:t>11.4.2</w:t>
      </w:r>
      <w:r>
        <w:rPr>
          <w:rFonts w:cstheme="majorHAnsi"/>
        </w:rPr>
        <w:tab/>
      </w:r>
      <w:r>
        <w:rPr>
          <w:rFonts w:cstheme="majorHAnsi"/>
        </w:rPr>
        <w:t>Key personnel changes</w:t>
      </w:r>
      <w:bookmarkEnd w:id="534"/>
      <w:bookmarkEnd w:id="535"/>
      <w:bookmarkEnd w:id="536"/>
      <w:bookmarkEnd w:id="537"/>
      <w:bookmarkEnd w:id="538"/>
      <w:bookmarkEnd w:id="539"/>
      <w:bookmarkEnd w:id="540"/>
      <w:bookmarkEnd w:id="541"/>
    </w:p>
    <w:p>
      <w:pPr>
        <w:pStyle w:val="5"/>
        <w:rPr>
          <w:rFonts w:asciiTheme="majorHAnsi" w:hAnsiTheme="majorHAnsi" w:cstheme="majorHAnsi"/>
          <w:color w:val="auto"/>
          <w:lang w:eastAsia="en-GB"/>
        </w:rPr>
      </w:pPr>
      <w:r>
        <w:rPr>
          <w:rFonts w:asciiTheme="majorHAnsi" w:hAnsiTheme="majorHAnsi" w:cstheme="majorHAnsi"/>
          <w:lang w:eastAsia="en-GB"/>
        </w:rPr>
        <w:t xml:space="preserve">If there are changes in key personnel or the way in </w:t>
      </w:r>
      <w:r>
        <w:rPr>
          <w:rFonts w:asciiTheme="majorHAnsi" w:hAnsiTheme="majorHAnsi" w:cstheme="majorHAnsi"/>
          <w:color w:val="auto"/>
          <w:lang w:eastAsia="en-GB"/>
        </w:rPr>
        <w:t xml:space="preserve">which </w:t>
      </w:r>
      <w:r>
        <w:rPr>
          <w:rFonts w:ascii="Arial" w:hAnsi="Arial" w:cstheme="majorHAnsi"/>
          <w:color w:val="auto"/>
          <w:lang w:eastAsia="en-GB"/>
        </w:rPr>
        <w:t>University of Otago</w:t>
      </w:r>
      <w:r>
        <w:rPr>
          <w:rFonts w:asciiTheme="majorHAnsi" w:hAnsiTheme="majorHAnsi" w:cstheme="majorHAnsi"/>
          <w:color w:val="auto"/>
          <w:lang w:eastAsia="en-GB"/>
        </w:rPr>
        <w:t xml:space="preserve"> manages injury management internally, </w:t>
      </w:r>
      <w:r>
        <w:rPr>
          <w:rFonts w:ascii="Arial" w:hAnsi="Arial" w:cstheme="majorHAnsi"/>
          <w:color w:val="auto"/>
          <w:lang w:eastAsia="en-GB"/>
        </w:rPr>
        <w:t>University of Otago</w:t>
      </w:r>
      <w:r>
        <w:rPr>
          <w:rFonts w:asciiTheme="majorHAnsi" w:hAnsiTheme="majorHAnsi" w:cstheme="majorHAnsi"/>
          <w:color w:val="auto"/>
          <w:lang w:eastAsia="en-GB"/>
        </w:rPr>
        <w:t xml:space="preserve"> will notify ACC as soon as possible to ensure that security changes and contact details are kept current.</w:t>
      </w:r>
    </w:p>
    <w:p>
      <w:pPr>
        <w:pStyle w:val="7"/>
        <w:rPr>
          <w:rFonts w:cstheme="majorHAnsi"/>
        </w:rPr>
      </w:pPr>
      <w:bookmarkStart w:id="542" w:name="_Toc545307653"/>
      <w:bookmarkStart w:id="543" w:name="_Toc1777771180"/>
      <w:bookmarkStart w:id="544" w:name="_Toc90394302"/>
      <w:bookmarkStart w:id="545" w:name="_Toc101532381"/>
      <w:bookmarkStart w:id="546" w:name="_Toc122223615"/>
      <w:bookmarkStart w:id="547" w:name="_Toc1351138729"/>
      <w:bookmarkStart w:id="548" w:name="_Toc90388397"/>
      <w:bookmarkStart w:id="549" w:name="_Toc101453914"/>
      <w:r>
        <w:rPr>
          <w:rFonts w:cstheme="majorHAnsi"/>
        </w:rPr>
        <w:t>11.5</w:t>
      </w:r>
      <w:r>
        <w:rPr>
          <w:rFonts w:cstheme="majorHAnsi"/>
        </w:rPr>
        <w:tab/>
      </w:r>
      <w:r>
        <w:rPr>
          <w:rFonts w:cstheme="majorHAnsi"/>
        </w:rPr>
        <w:t>Monitoring the injury management programme</w:t>
      </w:r>
      <w:bookmarkEnd w:id="542"/>
      <w:bookmarkEnd w:id="543"/>
      <w:bookmarkEnd w:id="544"/>
      <w:bookmarkEnd w:id="545"/>
      <w:bookmarkEnd w:id="546"/>
      <w:bookmarkEnd w:id="547"/>
      <w:bookmarkEnd w:id="548"/>
      <w:bookmarkEnd w:id="549"/>
    </w:p>
    <w:p>
      <w:pPr>
        <w:pStyle w:val="5"/>
        <w:rPr>
          <w:rStyle w:val="362"/>
          <w:rFonts w:asciiTheme="majorHAnsi" w:hAnsiTheme="majorHAnsi" w:cstheme="majorHAnsi"/>
          <w:color w:val="152C46" w:themeColor="text1"/>
          <w:sz w:val="20"/>
          <w:szCs w:val="20"/>
          <w14:textFill>
            <w14:solidFill>
              <w14:schemeClr w14:val="tx1"/>
            </w14:solidFill>
          </w14:textFill>
        </w:rPr>
      </w:pPr>
      <w:r>
        <w:rPr>
          <w:rStyle w:val="362"/>
          <w:rFonts w:ascii="Arial" w:hAnsi="Arial" w:cstheme="majorHAnsi"/>
          <w:color w:val="auto"/>
          <w:sz w:val="20"/>
          <w:szCs w:val="20"/>
        </w:rPr>
        <w:t>University of Otago</w:t>
      </w:r>
      <w:r>
        <w:rPr>
          <w:rStyle w:val="362"/>
          <w:rFonts w:asciiTheme="majorHAnsi" w:hAnsiTheme="majorHAnsi" w:cstheme="majorHAnsi"/>
          <w:color w:val="auto"/>
          <w:sz w:val="20"/>
          <w:szCs w:val="20"/>
        </w:rPr>
        <w:t xml:space="preserve"> </w:t>
      </w:r>
      <w:r>
        <w:rPr>
          <w:rStyle w:val="362"/>
          <w:rFonts w:asciiTheme="majorHAnsi" w:hAnsiTheme="majorHAnsi" w:cstheme="majorHAnsi"/>
          <w:color w:val="152C46" w:themeColor="text1"/>
          <w:sz w:val="20"/>
          <w:szCs w:val="20"/>
          <w14:textFill>
            <w14:solidFill>
              <w14:schemeClr w14:val="tx1"/>
            </w14:solidFill>
          </w14:textFill>
        </w:rPr>
        <w:t>will monitor and review the Injury Management Programme’s performance at least once a year. This will be done by reviewing and analysing data and relevant key performance indicators.</w:t>
      </w:r>
      <w:r>
        <w:rPr>
          <w:rFonts w:asciiTheme="majorHAnsi" w:hAnsiTheme="majorHAnsi" w:cstheme="majorHAnsi"/>
        </w:rPr>
        <w:br w:type="textWrapping"/>
      </w:r>
      <w:r>
        <w:rPr>
          <w:rStyle w:val="362"/>
          <w:rFonts w:asciiTheme="majorHAnsi" w:hAnsiTheme="majorHAnsi" w:cstheme="majorHAnsi"/>
          <w:color w:val="152C46" w:themeColor="text1"/>
          <w:sz w:val="20"/>
          <w:szCs w:val="20"/>
          <w14:textFill>
            <w14:solidFill>
              <w14:schemeClr w14:val="tx1"/>
            </w14:solidFill>
          </w14:textFill>
        </w:rPr>
        <w:t>The programme’s objectives are to:</w:t>
      </w:r>
    </w:p>
    <w:p>
      <w:pPr>
        <w:pStyle w:val="292"/>
        <w:rPr>
          <w:rFonts w:asciiTheme="majorHAnsi" w:hAnsiTheme="majorHAnsi" w:cstheme="majorHAnsi"/>
        </w:rPr>
      </w:pPr>
      <w:r>
        <w:rPr>
          <w:rFonts w:asciiTheme="majorHAnsi" w:hAnsiTheme="majorHAnsi" w:cstheme="majorHAnsi"/>
        </w:rPr>
        <w:t>Help employees who are injured at work rehabilitate effectively and return to work early and safely</w:t>
      </w:r>
    </w:p>
    <w:p>
      <w:pPr>
        <w:pStyle w:val="292"/>
        <w:rPr>
          <w:rFonts w:asciiTheme="majorHAnsi" w:hAnsiTheme="majorHAnsi" w:cstheme="majorHAnsi"/>
        </w:rPr>
      </w:pPr>
      <w:r>
        <w:rPr>
          <w:rFonts w:asciiTheme="majorHAnsi" w:hAnsiTheme="majorHAnsi" w:cstheme="majorHAnsi"/>
        </w:rPr>
        <w:t>Reduce work-related personal injuries and associated claim costs</w:t>
      </w:r>
    </w:p>
    <w:p>
      <w:pPr>
        <w:pStyle w:val="292"/>
        <w:rPr>
          <w:rFonts w:asciiTheme="majorHAnsi" w:hAnsiTheme="majorHAnsi" w:cstheme="majorHAnsi"/>
        </w:rPr>
      </w:pPr>
      <w:r>
        <w:rPr>
          <w:rFonts w:asciiTheme="majorHAnsi" w:hAnsiTheme="majorHAnsi" w:cstheme="majorHAnsi"/>
        </w:rPr>
        <w:t>Provide benchmarks to measure the extent and management of work-related personal injuries</w:t>
      </w:r>
    </w:p>
    <w:p>
      <w:pPr>
        <w:pStyle w:val="292"/>
        <w:rPr>
          <w:rFonts w:asciiTheme="majorHAnsi" w:hAnsiTheme="majorHAnsi" w:cstheme="majorHAnsi"/>
        </w:rPr>
      </w:pPr>
      <w:r>
        <w:rPr>
          <w:rFonts w:asciiTheme="majorHAnsi" w:hAnsiTheme="majorHAnsi" w:cstheme="majorHAnsi"/>
        </w:rPr>
        <w:t>Review and develop rehabilitation objectives</w:t>
      </w:r>
    </w:p>
    <w:p>
      <w:pPr>
        <w:pStyle w:val="5"/>
        <w:rPr>
          <w:rFonts w:asciiTheme="majorHAnsi" w:hAnsiTheme="majorHAnsi" w:cstheme="majorHAnsi"/>
          <w:lang w:eastAsia="en-GB"/>
        </w:rPr>
      </w:pPr>
      <w:r>
        <w:rPr>
          <w:rFonts w:asciiTheme="majorHAnsi" w:hAnsiTheme="majorHAnsi" w:cstheme="majorHAnsi"/>
        </w:rPr>
        <w:t xml:space="preserve">The </w:t>
      </w:r>
      <w:r>
        <w:rPr>
          <w:rFonts w:asciiTheme="majorHAnsi" w:hAnsiTheme="majorHAnsi" w:cstheme="majorHAnsi"/>
          <w:lang w:eastAsia="en-GB"/>
        </w:rPr>
        <w:t>Injury Management Programme’s performance is monitored to:</w:t>
      </w:r>
    </w:p>
    <w:p>
      <w:pPr>
        <w:pStyle w:val="292"/>
        <w:rPr>
          <w:rFonts w:asciiTheme="majorHAnsi" w:hAnsiTheme="majorHAnsi" w:cstheme="majorHAnsi"/>
        </w:rPr>
      </w:pPr>
      <w:r>
        <w:rPr>
          <w:rFonts w:asciiTheme="majorHAnsi" w:hAnsiTheme="majorHAnsi" w:cstheme="majorHAnsi"/>
        </w:rPr>
        <w:t>Ensure that outcomes are meeting the programme’s objectives</w:t>
      </w:r>
    </w:p>
    <w:p>
      <w:pPr>
        <w:pStyle w:val="292"/>
        <w:rPr>
          <w:rFonts w:asciiTheme="majorHAnsi" w:hAnsiTheme="majorHAnsi" w:cstheme="majorHAnsi"/>
        </w:rPr>
      </w:pPr>
      <w:r>
        <w:rPr>
          <w:rFonts w:asciiTheme="majorHAnsi" w:hAnsiTheme="majorHAnsi" w:cstheme="majorHAnsi"/>
        </w:rPr>
        <w:t>Identify any areas that need to be changed or improved</w:t>
      </w:r>
    </w:p>
    <w:p>
      <w:pPr>
        <w:pStyle w:val="292"/>
        <w:rPr>
          <w:rFonts w:asciiTheme="majorHAnsi" w:hAnsiTheme="majorHAnsi" w:cstheme="majorHAnsi"/>
        </w:rPr>
      </w:pPr>
      <w:r>
        <w:rPr>
          <w:rFonts w:asciiTheme="majorHAnsi" w:hAnsiTheme="majorHAnsi" w:cstheme="majorHAnsi"/>
        </w:rPr>
        <w:t>Initiate preventative measures where trends identified</w:t>
      </w:r>
    </w:p>
    <w:p>
      <w:pPr>
        <w:pStyle w:val="5"/>
        <w:rPr>
          <w:rFonts w:asciiTheme="majorHAnsi" w:hAnsiTheme="majorHAnsi" w:cstheme="majorHAnsi"/>
          <w:lang w:eastAsia="en-GB"/>
        </w:rPr>
      </w:pPr>
      <w:r>
        <w:rPr>
          <w:rFonts w:asciiTheme="majorHAnsi" w:hAnsiTheme="majorHAnsi" w:cstheme="majorHAnsi"/>
          <w:lang w:eastAsia="en-GB"/>
        </w:rPr>
        <w:t>Key injury management performance targets and measures are determined annually and may include, for example:</w:t>
      </w:r>
    </w:p>
    <w:p>
      <w:pPr>
        <w:pStyle w:val="292"/>
        <w:rPr>
          <w:rFonts w:asciiTheme="majorHAnsi" w:hAnsiTheme="majorHAnsi" w:cstheme="majorHAnsi"/>
        </w:rPr>
      </w:pPr>
      <w:r>
        <w:rPr>
          <w:rFonts w:asciiTheme="majorHAnsi" w:hAnsiTheme="majorHAnsi" w:cstheme="majorHAnsi"/>
        </w:rPr>
        <w:t>Return-to-work outcomes</w:t>
      </w:r>
    </w:p>
    <w:p>
      <w:pPr>
        <w:pStyle w:val="292"/>
        <w:rPr>
          <w:rFonts w:asciiTheme="majorHAnsi" w:hAnsiTheme="majorHAnsi" w:cstheme="majorHAnsi"/>
        </w:rPr>
      </w:pPr>
      <w:r>
        <w:rPr>
          <w:rFonts w:asciiTheme="majorHAnsi" w:hAnsiTheme="majorHAnsi" w:cstheme="majorHAnsi"/>
        </w:rPr>
        <w:t>Duration and cost of claims</w:t>
      </w:r>
    </w:p>
    <w:p>
      <w:pPr>
        <w:pStyle w:val="292"/>
        <w:rPr>
          <w:rFonts w:asciiTheme="majorHAnsi" w:hAnsiTheme="majorHAnsi" w:cstheme="majorHAnsi"/>
        </w:rPr>
      </w:pPr>
      <w:r>
        <w:rPr>
          <w:rFonts w:asciiTheme="majorHAnsi" w:hAnsiTheme="majorHAnsi" w:cstheme="majorHAnsi"/>
        </w:rPr>
        <w:t>Service delivery</w:t>
      </w:r>
    </w:p>
    <w:p>
      <w:pPr>
        <w:pStyle w:val="292"/>
        <w:rPr>
          <w:rFonts w:asciiTheme="majorHAnsi" w:hAnsiTheme="majorHAnsi" w:cstheme="majorHAnsi"/>
        </w:rPr>
      </w:pPr>
      <w:r>
        <w:rPr>
          <w:rFonts w:asciiTheme="majorHAnsi" w:hAnsiTheme="majorHAnsi" w:cstheme="majorHAnsi"/>
        </w:rPr>
        <w:t>Quality assurance</w:t>
      </w:r>
    </w:p>
    <w:p>
      <w:pPr>
        <w:pStyle w:val="5"/>
        <w:rPr>
          <w:rFonts w:asciiTheme="majorHAnsi" w:hAnsiTheme="majorHAnsi" w:cstheme="majorHAnsi"/>
          <w:lang w:eastAsia="en-GB"/>
        </w:rPr>
      </w:pPr>
      <w:r>
        <w:rPr>
          <w:rFonts w:asciiTheme="majorHAnsi" w:hAnsiTheme="majorHAnsi" w:cstheme="majorHAnsi"/>
          <w:lang w:eastAsia="en-GB"/>
        </w:rPr>
        <w:t>Where applicable, the process will also consider information provided by the injured Kaimahi-staff and/or their support person, union representative or line manager, especially where concerns have been raised about the quality of rehabilitation. This information may include:</w:t>
      </w:r>
    </w:p>
    <w:p>
      <w:pPr>
        <w:pStyle w:val="292"/>
        <w:rPr>
          <w:rFonts w:asciiTheme="majorHAnsi" w:hAnsiTheme="majorHAnsi" w:cstheme="majorHAnsi"/>
        </w:rPr>
      </w:pPr>
      <w:r>
        <w:rPr>
          <w:rFonts w:asciiTheme="majorHAnsi" w:hAnsiTheme="majorHAnsi" w:cstheme="majorHAnsi"/>
        </w:rPr>
        <w:t>Individual claimant feedback</w:t>
      </w:r>
    </w:p>
    <w:p>
      <w:pPr>
        <w:pStyle w:val="292"/>
        <w:rPr>
          <w:rFonts w:asciiTheme="majorHAnsi" w:hAnsiTheme="majorHAnsi" w:cstheme="majorHAnsi"/>
        </w:rPr>
      </w:pPr>
      <w:r>
        <w:rPr>
          <w:rFonts w:asciiTheme="majorHAnsi" w:hAnsiTheme="majorHAnsi" w:cstheme="majorHAnsi"/>
        </w:rPr>
        <w:t>Satisfaction survey information</w:t>
      </w:r>
    </w:p>
    <w:p>
      <w:pPr>
        <w:pStyle w:val="292"/>
        <w:rPr>
          <w:rFonts w:asciiTheme="majorHAnsi" w:hAnsiTheme="majorHAnsi" w:cstheme="majorHAnsi"/>
        </w:rPr>
      </w:pPr>
      <w:r>
        <w:rPr>
          <w:rFonts w:asciiTheme="majorHAnsi" w:hAnsiTheme="majorHAnsi" w:cstheme="majorHAnsi"/>
        </w:rPr>
        <w:t>Direct management or union feedback</w:t>
      </w:r>
    </w:p>
    <w:p>
      <w:pPr>
        <w:pStyle w:val="292"/>
        <w:rPr>
          <w:rFonts w:asciiTheme="majorHAnsi" w:hAnsiTheme="majorHAnsi" w:cstheme="majorHAnsi"/>
        </w:rPr>
      </w:pPr>
      <w:r>
        <w:rPr>
          <w:rFonts w:asciiTheme="majorHAnsi" w:hAnsiTheme="majorHAnsi" w:cstheme="majorHAnsi"/>
        </w:rPr>
        <w:t>Feedback about treatment providers</w:t>
      </w: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2"/>
        <w:rPr>
          <w:rFonts w:cstheme="majorHAnsi"/>
        </w:rPr>
      </w:pPr>
      <w:bookmarkStart w:id="550" w:name="_Toc101453915"/>
      <w:bookmarkStart w:id="551" w:name="_Toc101532382"/>
      <w:r>
        <w:rPr>
          <w:rFonts w:cstheme="majorHAnsi"/>
        </w:rPr>
        <w:t>APPENDICES</w:t>
      </w:r>
      <w:bookmarkEnd w:id="550"/>
      <w:bookmarkEnd w:id="551"/>
    </w:p>
    <w:p>
      <w:pPr>
        <w:pStyle w:val="7"/>
        <w:rPr>
          <w:rFonts w:cstheme="majorHAnsi"/>
        </w:rPr>
      </w:pPr>
      <w:bookmarkStart w:id="552" w:name="_Toc101453916"/>
      <w:bookmarkStart w:id="553" w:name="_Toc101532383"/>
      <w:r>
        <w:rPr>
          <w:rFonts w:cstheme="majorHAnsi"/>
        </w:rPr>
        <w:t>12.1</w:t>
      </w:r>
      <w:r>
        <w:rPr>
          <w:rFonts w:cstheme="majorHAnsi"/>
        </w:rPr>
        <w:tab/>
      </w:r>
      <w:r>
        <w:rPr>
          <w:rFonts w:cstheme="majorHAnsi"/>
        </w:rPr>
        <w:t>Appendix 1 – Claims overview</w:t>
      </w:r>
      <w:bookmarkEnd w:id="552"/>
      <w:bookmarkEnd w:id="553"/>
    </w:p>
    <w:p>
      <w:pPr>
        <w:pStyle w:val="5"/>
        <w:rPr>
          <w:rFonts w:asciiTheme="majorHAnsi" w:hAnsiTheme="majorHAnsi" w:cstheme="majorHAnsi"/>
        </w:rPr>
      </w:pPr>
      <w:r>
        <w:rPr>
          <w:rFonts w:asciiTheme="majorHAnsi" w:hAnsiTheme="majorHAnsi" w:cstheme="majorHAnsi"/>
          <w:lang w:eastAsia="en-GB"/>
        </w:rPr>
        <w:drawing>
          <wp:inline distT="0" distB="0" distL="0" distR="0">
            <wp:extent cx="6120130" cy="7609840"/>
            <wp:effectExtent l="0" t="0" r="0" b="0"/>
            <wp:docPr id="636504652" name="Picture 63650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4652" name="Picture 6365046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0130" cy="7610151"/>
                    </a:xfrm>
                    <a:prstGeom prst="rect">
                      <a:avLst/>
                    </a:prstGeom>
                  </pic:spPr>
                </pic:pic>
              </a:graphicData>
            </a:graphic>
          </wp:inline>
        </w:drawing>
      </w: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5"/>
        <w:rPr>
          <w:rFonts w:asciiTheme="majorHAnsi" w:hAnsiTheme="majorHAnsi" w:cstheme="majorHAnsi"/>
        </w:rPr>
      </w:pPr>
    </w:p>
    <w:p>
      <w:pPr>
        <w:pStyle w:val="7"/>
        <w:rPr>
          <w:rFonts w:cstheme="majorHAnsi"/>
        </w:rPr>
      </w:pPr>
      <w:bookmarkStart w:id="554" w:name="_Toc101453917"/>
      <w:bookmarkStart w:id="555" w:name="_Toc101532384"/>
      <w:r>
        <w:rPr>
          <w:rFonts w:cstheme="majorHAnsi"/>
        </w:rPr>
        <w:t>12.2</w:t>
      </w:r>
      <w:r>
        <w:rPr>
          <w:rFonts w:cstheme="majorHAnsi"/>
        </w:rPr>
        <w:tab/>
      </w:r>
      <w:r>
        <w:rPr>
          <w:rFonts w:cstheme="majorHAnsi"/>
        </w:rPr>
        <w:t>Appendix 2 – Summary of AEP timeframes</w:t>
      </w:r>
      <w:bookmarkEnd w:id="554"/>
      <w:bookmarkEnd w:id="555"/>
    </w:p>
    <w:p>
      <w:pPr>
        <w:pStyle w:val="5"/>
        <w:rPr>
          <w:rFonts w:asciiTheme="majorHAnsi" w:hAnsiTheme="majorHAnsi" w:cstheme="majorHAnsi"/>
        </w:rPr>
      </w:pPr>
      <w:r>
        <w:rPr>
          <w:rFonts w:asciiTheme="majorHAnsi" w:hAnsiTheme="majorHAnsi" w:cstheme="majorHAnsi"/>
        </w:rPr>
        <w:t>Injury Manager = University of Otago OHN Case Manager</w:t>
      </w:r>
    </w:p>
    <w:tbl>
      <w:tblPr>
        <w:tblStyle w:val="115"/>
        <w:tblW w:w="9776" w:type="dxa"/>
        <w:tblInd w:w="0"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autofit"/>
        <w:tblCellMar>
          <w:top w:w="0" w:type="dxa"/>
          <w:left w:w="108" w:type="dxa"/>
          <w:bottom w:w="0" w:type="dxa"/>
          <w:right w:w="108" w:type="dxa"/>
        </w:tblCellMar>
      </w:tblPr>
      <w:tblGrid>
        <w:gridCol w:w="2210"/>
        <w:gridCol w:w="2635"/>
        <w:gridCol w:w="2207"/>
        <w:gridCol w:w="2724"/>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rPr>
          <w:tblHeader/>
        </w:trPr>
        <w:tc>
          <w:tcPr>
            <w:tcW w:w="2210"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lang w:val="en-AU"/>
                <w14:textFill>
                  <w14:solidFill>
                    <w14:schemeClr w14:val="bg1"/>
                  </w14:solidFill>
                </w14:textFill>
              </w:rPr>
            </w:pPr>
            <w:r>
              <w:rPr>
                <w:rFonts w:asciiTheme="majorHAnsi" w:hAnsiTheme="majorHAnsi" w:cstheme="majorHAnsi"/>
                <w:b/>
                <w:color w:val="FFFFFF" w:themeColor="background1"/>
                <w:lang w:val="en-AU"/>
                <w14:textFill>
                  <w14:solidFill>
                    <w14:schemeClr w14:val="bg1"/>
                  </w14:solidFill>
                </w14:textFill>
              </w:rPr>
              <w:t>Timeframe</w:t>
            </w:r>
          </w:p>
        </w:tc>
        <w:tc>
          <w:tcPr>
            <w:tcW w:w="2635"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lang w:val="en-AU"/>
                <w14:textFill>
                  <w14:solidFill>
                    <w14:schemeClr w14:val="bg1"/>
                  </w14:solidFill>
                </w14:textFill>
              </w:rPr>
            </w:pPr>
            <w:r>
              <w:rPr>
                <w:rFonts w:asciiTheme="majorHAnsi" w:hAnsiTheme="majorHAnsi" w:cstheme="majorHAnsi"/>
                <w:b/>
                <w:color w:val="FFFFFF" w:themeColor="background1"/>
                <w:lang w:val="en-AU"/>
                <w14:textFill>
                  <w14:solidFill>
                    <w14:schemeClr w14:val="bg1"/>
                  </w14:solidFill>
                </w14:textFill>
              </w:rPr>
              <w:t xml:space="preserve">Task </w:t>
            </w:r>
          </w:p>
        </w:tc>
        <w:tc>
          <w:tcPr>
            <w:tcW w:w="2207"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lang w:val="en-AU"/>
                <w14:textFill>
                  <w14:solidFill>
                    <w14:schemeClr w14:val="bg1"/>
                  </w14:solidFill>
                </w14:textFill>
              </w:rPr>
            </w:pPr>
            <w:r>
              <w:rPr>
                <w:rFonts w:asciiTheme="majorHAnsi" w:hAnsiTheme="majorHAnsi" w:cstheme="majorHAnsi"/>
                <w:b/>
                <w:color w:val="FFFFFF" w:themeColor="background1"/>
                <w:lang w:val="en-AU"/>
                <w14:textFill>
                  <w14:solidFill>
                    <w14:schemeClr w14:val="bg1"/>
                  </w14:solidFill>
                </w14:textFill>
              </w:rPr>
              <w:t>Action</w:t>
            </w:r>
          </w:p>
        </w:tc>
        <w:tc>
          <w:tcPr>
            <w:tcW w:w="2724"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lang w:val="en-AU"/>
                <w14:textFill>
                  <w14:solidFill>
                    <w14:schemeClr w14:val="bg1"/>
                  </w14:solidFill>
                </w14:textFill>
              </w:rPr>
            </w:pPr>
            <w:r>
              <w:rPr>
                <w:rFonts w:asciiTheme="majorHAnsi" w:hAnsiTheme="majorHAnsi" w:cstheme="majorHAnsi"/>
                <w:b/>
                <w:color w:val="FFFFFF" w:themeColor="background1"/>
                <w:lang w:val="en-AU"/>
                <w14:textFill>
                  <w14:solidFill>
                    <w14:schemeClr w14:val="bg1"/>
                  </w14:solidFill>
                </w14:textFill>
              </w:rPr>
              <w:t>Responsibility</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tcBorders>
              <w:top w:val="single" w:color="152C46" w:themeColor="text1" w:sz="4" w:space="0"/>
            </w:tcBorders>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2 days from treatment and ACC claim lodgement</w:t>
            </w:r>
          </w:p>
        </w:tc>
        <w:tc>
          <w:tcPr>
            <w:tcW w:w="2635" w:type="dxa"/>
            <w:tcBorders>
              <w:top w:val="single" w:color="152C46" w:themeColor="text1" w:sz="4" w:space="0"/>
            </w:tcBorders>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Claim notification to Employer</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Claim notification to Howden Care</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p>
        </w:tc>
        <w:tc>
          <w:tcPr>
            <w:tcW w:w="2207" w:type="dxa"/>
            <w:tcBorders>
              <w:top w:val="single" w:color="152C46" w:themeColor="text1" w:sz="4" w:space="0"/>
            </w:tcBorders>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 xml:space="preserve">Employer notifies Injury Manager </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 notify University of Otago</w:t>
            </w:r>
          </w:p>
        </w:tc>
        <w:tc>
          <w:tcPr>
            <w:tcW w:w="2724" w:type="dxa"/>
            <w:tcBorders>
              <w:top w:val="single" w:color="152C46" w:themeColor="text1" w:sz="4" w:space="0"/>
            </w:tcBorders>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Employer</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2 days from injury notification</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Initial Needs Assessed for all claims with lost time or interruption to normal working activities</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 xml:space="preserve">Vault report provided </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Injury Manager contacts injured Kaimahi-staff to assess needs</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Claimant and OHN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 xml:space="preserve">University of Otago OHN </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 xml:space="preserve">7 days from injury notification </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Action plan is completed for all claims with lost time or interruption to normal working activities</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Injury Manager develops action plan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University of Otago OHN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Action Plan updated every 14 days until cover decision is made</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 xml:space="preserve">Action Plan is updated for all claims with ongoing lost time or interruption to normal working activities </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Injury Manager updates action plan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University of Otago OHN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Before any information is requested or released (except for the initial consultation notes)</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Signed Kaimahi-staff consent</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Consent is obtained from injured employee</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 xml:space="preserve"> University of Otago OHN </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21 days</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for PICBA claims, otherwise extension needed</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investigation completed and decision made according to legislation</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If cover decision not able to be made, send letter to injured Kaimahi-staff explaining reason and extended timeframe for cover decision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 Claims Team, or University of Otago</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2 months</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due for complex claims, otherwise extension needed</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investigation completed and decision made according to legislation</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If cover decision not able to be made, send letter to injured Kaimahi-staff explaining reason and extended timeframe for cover decision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 Claims Team, University of Otago</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 xml:space="preserve">4 months </w:t>
            </w:r>
          </w:p>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Simple and Complex claims</w:t>
            </w:r>
          </w:p>
          <w:p>
            <w:pPr>
              <w:spacing w:before="120" w:after="120" w:line="240" w:lineRule="auto"/>
              <w:rPr>
                <w:rFonts w:asciiTheme="majorHAnsi" w:hAnsiTheme="majorHAnsi" w:cstheme="majorHAnsi"/>
                <w:b/>
                <w:color w:val="152C46" w:themeColor="text1"/>
                <w:lang w:val="en-AU"/>
                <w14:textFill>
                  <w14:solidFill>
                    <w14:schemeClr w14:val="tx1"/>
                  </w14:solidFill>
                </w14:textFill>
              </w:rPr>
            </w:pPr>
          </w:p>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Simple =PICBA</w:t>
            </w:r>
          </w:p>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Complex = WRGPDI, Mental Injury and claims lodged 12 months after accident date</w:t>
            </w:r>
          </w:p>
          <w:p>
            <w:pPr>
              <w:spacing w:before="120" w:after="120" w:line="240" w:lineRule="auto"/>
              <w:rPr>
                <w:rFonts w:asciiTheme="majorHAnsi" w:hAnsiTheme="majorHAnsi" w:cstheme="majorHAnsi"/>
                <w:b/>
                <w:color w:val="152C46" w:themeColor="text1"/>
                <w:lang w:val="en-AU"/>
                <w14:textFill>
                  <w14:solidFill>
                    <w14:schemeClr w14:val="tx1"/>
                  </w14:solidFill>
                </w14:textFill>
              </w:rPr>
            </w:pP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due for extended PICBA claims</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p>
          <w:p>
            <w:pPr>
              <w:spacing w:before="120" w:after="120" w:line="240" w:lineRule="auto"/>
              <w:rPr>
                <w:rFonts w:asciiTheme="majorHAnsi" w:hAnsiTheme="majorHAnsi" w:cstheme="majorHAnsi"/>
                <w:color w:val="152C46" w:themeColor="text1"/>
                <w:lang w:val="en-AU"/>
                <w14:textFill>
                  <w14:solidFill>
                    <w14:schemeClr w14:val="tx1"/>
                  </w14:solidFill>
                </w14:textFill>
              </w:rPr>
            </w:pPr>
          </w:p>
          <w:p>
            <w:pPr>
              <w:spacing w:before="120" w:after="120" w:line="240" w:lineRule="auto"/>
              <w:rPr>
                <w:rFonts w:asciiTheme="majorHAnsi" w:hAnsiTheme="majorHAnsi" w:cstheme="majorHAnsi"/>
                <w:color w:val="152C46" w:themeColor="text1"/>
                <w:lang w:val="en-AU"/>
                <w14:textFill>
                  <w14:solidFill>
                    <w14:schemeClr w14:val="tx1"/>
                  </w14:solidFill>
                </w14:textFill>
              </w:rPr>
            </w:pP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due for extended Complex claims, otherwise second extension needed</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must be made for extended PICBA claims</w:t>
            </w:r>
          </w:p>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If cover decision not able to be made for Complex claims, contact injured Kaimahi-staff to discuss and send letter explaining reason and extended timeframe for cover decision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 Claims Team or University of Otago</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9 months</w:t>
            </w:r>
          </w:p>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Complex claims only</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due for extended complex claims</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Cover decision must be made</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University of Otago OHN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14 days after cover decision</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Individual Rehabilitation Plan developed for injured employees with ongoing incapacity</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Rehabilitation plan is developed with the injured employee, employer, injury manager</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University of Otago OHN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Key milestones</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Individual Rehabilitation Plan is updated for injured employees with ongoing incapacity</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Rehabilitation plan is updated with the injured employee, employer, injury manager</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 xml:space="preserve">University of Otago OHN </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Weekly</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Weekly monitoring of injured employees with ongoing incapacity</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Documented weekly check in on rehabilitation progress</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University of Otago OHN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Monthly</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Review of non-progressive rehabilitation</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If recovery has moved outside normal timeframes for injury, monthly review of claim to consider best course of action</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University of Otago OHN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5</w:t>
            </w:r>
            <w:r>
              <w:rPr>
                <w:rFonts w:asciiTheme="majorHAnsi" w:hAnsiTheme="majorHAnsi" w:cstheme="majorHAnsi"/>
                <w:b/>
                <w:color w:val="152C46" w:themeColor="text1"/>
                <w:vertAlign w:val="superscript"/>
                <w:lang w:val="en-AU"/>
                <w14:textFill>
                  <w14:solidFill>
                    <w14:schemeClr w14:val="tx1"/>
                  </w14:solidFill>
                </w14:textFill>
              </w:rPr>
              <w:t>th</w:t>
            </w:r>
            <w:r>
              <w:rPr>
                <w:rFonts w:asciiTheme="majorHAnsi" w:hAnsiTheme="majorHAnsi" w:cstheme="majorHAnsi"/>
                <w:b/>
                <w:color w:val="152C46" w:themeColor="text1"/>
                <w:lang w:val="en-AU"/>
                <w14:textFill>
                  <w14:solidFill>
                    <w14:schemeClr w14:val="tx1"/>
                  </w14:solidFill>
                </w14:textFill>
              </w:rPr>
              <w:t xml:space="preserve"> working day of the month</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Data reported securely to ACC</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Send data report to ACC</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 Administrator</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2210" w:type="dxa"/>
            <w:shd w:val="clear" w:color="auto" w:fill="F1F1F1" w:themeFill="background1" w:themeFillShade="F2"/>
          </w:tcPr>
          <w:p>
            <w:pPr>
              <w:spacing w:before="120" w:after="120" w:line="240" w:lineRule="auto"/>
              <w:rPr>
                <w:rFonts w:asciiTheme="majorHAnsi" w:hAnsiTheme="majorHAnsi" w:cstheme="majorHAnsi"/>
                <w:b/>
                <w:color w:val="152C46" w:themeColor="text1"/>
                <w:lang w:val="en-AU"/>
                <w14:textFill>
                  <w14:solidFill>
                    <w14:schemeClr w14:val="tx1"/>
                  </w14:solidFill>
                </w14:textFill>
              </w:rPr>
            </w:pPr>
            <w:r>
              <w:rPr>
                <w:rFonts w:asciiTheme="majorHAnsi" w:hAnsiTheme="majorHAnsi" w:cstheme="majorHAnsi"/>
                <w:b/>
                <w:color w:val="152C46" w:themeColor="text1"/>
                <w:lang w:val="en-AU"/>
                <w14:textFill>
                  <w14:solidFill>
                    <w14:schemeClr w14:val="tx1"/>
                  </w14:solidFill>
                </w14:textFill>
              </w:rPr>
              <w:t>20</w:t>
            </w:r>
            <w:r>
              <w:rPr>
                <w:rFonts w:asciiTheme="majorHAnsi" w:hAnsiTheme="majorHAnsi" w:cstheme="majorHAnsi"/>
                <w:b/>
                <w:color w:val="152C46" w:themeColor="text1"/>
                <w:vertAlign w:val="superscript"/>
                <w:lang w:val="en-AU"/>
                <w14:textFill>
                  <w14:solidFill>
                    <w14:schemeClr w14:val="tx1"/>
                  </w14:solidFill>
                </w14:textFill>
              </w:rPr>
              <w:t>th</w:t>
            </w:r>
            <w:r>
              <w:rPr>
                <w:rFonts w:asciiTheme="majorHAnsi" w:hAnsiTheme="majorHAnsi" w:cstheme="majorHAnsi"/>
                <w:b/>
                <w:color w:val="152C46" w:themeColor="text1"/>
                <w:lang w:val="en-AU"/>
                <w14:textFill>
                  <w14:solidFill>
                    <w14:schemeClr w14:val="tx1"/>
                  </w14:solidFill>
                </w14:textFill>
              </w:rPr>
              <w:t xml:space="preserve"> of the month</w:t>
            </w:r>
          </w:p>
        </w:tc>
        <w:tc>
          <w:tcPr>
            <w:tcW w:w="2635"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Pay treatment providers</w:t>
            </w:r>
          </w:p>
        </w:tc>
        <w:tc>
          <w:tcPr>
            <w:tcW w:w="2207"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Treatment provider invoices are approved and paid</w:t>
            </w:r>
          </w:p>
        </w:tc>
        <w:tc>
          <w:tcPr>
            <w:tcW w:w="2724" w:type="dxa"/>
            <w:shd w:val="clear" w:color="auto" w:fill="FFFFFF" w:themeFill="background1"/>
          </w:tcPr>
          <w:p>
            <w:pPr>
              <w:spacing w:before="120" w:after="120" w:line="240" w:lineRule="auto"/>
              <w:rPr>
                <w:rFonts w:asciiTheme="majorHAnsi" w:hAnsiTheme="majorHAnsi" w:cstheme="majorHAnsi"/>
                <w:color w:val="152C46" w:themeColor="text1"/>
                <w:lang w:val="en-AU"/>
                <w14:textFill>
                  <w14:solidFill>
                    <w14:schemeClr w14:val="tx1"/>
                  </w14:solidFill>
                </w14:textFill>
              </w:rPr>
            </w:pPr>
            <w:r>
              <w:rPr>
                <w:rFonts w:asciiTheme="majorHAnsi" w:hAnsiTheme="majorHAnsi" w:cstheme="majorHAnsi"/>
                <w:color w:val="152C46" w:themeColor="text1"/>
                <w:lang w:val="en-AU"/>
                <w14:textFill>
                  <w14:solidFill>
                    <w14:schemeClr w14:val="tx1"/>
                  </w14:solidFill>
                </w14:textFill>
              </w:rPr>
              <w:t>Howden Care</w:t>
            </w:r>
          </w:p>
        </w:tc>
      </w:tr>
    </w:tbl>
    <w:p>
      <w:pPr>
        <w:pStyle w:val="5"/>
        <w:rPr>
          <w:rFonts w:asciiTheme="majorHAnsi" w:hAnsiTheme="majorHAnsi" w:cstheme="majorHAnsi"/>
        </w:rPr>
      </w:pPr>
    </w:p>
    <w:p>
      <w:pPr>
        <w:pStyle w:val="5"/>
        <w:rPr>
          <w:rFonts w:asciiTheme="majorHAnsi" w:hAnsiTheme="majorHAnsi" w:cstheme="majorHAnsi"/>
        </w:rPr>
      </w:pP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7"/>
        <w:rPr>
          <w:rFonts w:cstheme="majorHAnsi"/>
        </w:rPr>
      </w:pPr>
      <w:bookmarkStart w:id="556" w:name="_Toc101453918"/>
      <w:bookmarkStart w:id="557" w:name="_Toc101532385"/>
      <w:r>
        <w:rPr>
          <w:rFonts w:cstheme="majorHAnsi"/>
        </w:rPr>
        <w:t>12.3</w:t>
      </w:r>
      <w:r>
        <w:rPr>
          <w:rFonts w:cstheme="majorHAnsi"/>
        </w:rPr>
        <w:tab/>
      </w:r>
      <w:r>
        <w:rPr>
          <w:rFonts w:cstheme="majorHAnsi"/>
        </w:rPr>
        <w:t>Appendix 3 – Claims transfer process</w:t>
      </w:r>
      <w:bookmarkEnd w:id="556"/>
      <w:bookmarkEnd w:id="557"/>
    </w:p>
    <w:p>
      <w:pPr>
        <w:pStyle w:val="5"/>
        <w:rPr>
          <w:rFonts w:asciiTheme="majorHAnsi" w:hAnsiTheme="majorHAnsi" w:cstheme="majorHAnsi"/>
        </w:rPr>
      </w:pPr>
      <w:r>
        <w:rPr>
          <w:rFonts w:asciiTheme="majorHAnsi" w:hAnsiTheme="majorHAnsi" w:cstheme="majorHAnsi"/>
          <w:sz w:val="22"/>
          <w:szCs w:val="22"/>
          <w:lang w:eastAsia="en-GB"/>
        </w:rPr>
        <w:drawing>
          <wp:inline distT="0" distB="0" distL="0" distR="0">
            <wp:extent cx="6120130" cy="7498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tretch>
                      <a:fillRect/>
                    </a:stretch>
                  </pic:blipFill>
                  <pic:spPr>
                    <a:xfrm>
                      <a:off x="0" y="0"/>
                      <a:ext cx="6120130" cy="7499027"/>
                    </a:xfrm>
                    <a:prstGeom prst="rect">
                      <a:avLst/>
                    </a:prstGeom>
                  </pic:spPr>
                </pic:pic>
              </a:graphicData>
            </a:graphic>
          </wp:inline>
        </w:drawing>
      </w:r>
    </w:p>
    <w:p>
      <w:pPr>
        <w:pStyle w:val="5"/>
        <w:rPr>
          <w:rFonts w:asciiTheme="majorHAnsi" w:hAnsiTheme="majorHAnsi" w:cstheme="majorHAnsi"/>
        </w:rPr>
      </w:pPr>
    </w:p>
    <w:p>
      <w:pPr>
        <w:rPr>
          <w:rFonts w:asciiTheme="majorHAnsi" w:hAnsiTheme="majorHAnsi" w:cstheme="majorHAnsi"/>
          <w:color w:val="152C46" w:themeColor="text1"/>
          <w14:textFill>
            <w14:solidFill>
              <w14:schemeClr w14:val="tx1"/>
            </w14:solidFill>
          </w14:textFill>
        </w:rPr>
      </w:pPr>
      <w:r>
        <w:rPr>
          <w:rFonts w:asciiTheme="majorHAnsi" w:hAnsiTheme="majorHAnsi" w:cstheme="majorHAnsi"/>
        </w:rPr>
        <w:br w:type="page"/>
      </w:r>
    </w:p>
    <w:p>
      <w:pPr>
        <w:pStyle w:val="7"/>
        <w:rPr>
          <w:rFonts w:cstheme="majorHAnsi"/>
        </w:rPr>
      </w:pPr>
      <w:bookmarkStart w:id="558" w:name="_Toc101453919"/>
      <w:bookmarkStart w:id="559" w:name="_Toc101532386"/>
      <w:r>
        <w:rPr>
          <w:rFonts w:cstheme="majorHAnsi"/>
        </w:rPr>
        <w:t>12.4</w:t>
      </w:r>
      <w:r>
        <w:rPr>
          <w:rFonts w:cstheme="majorHAnsi"/>
        </w:rPr>
        <w:tab/>
      </w:r>
      <w:r>
        <w:rPr>
          <w:rFonts w:cstheme="majorHAnsi"/>
        </w:rPr>
        <w:t>Appendix 4 – Weekly compensation &amp; abatement process</w:t>
      </w:r>
      <w:bookmarkEnd w:id="558"/>
      <w:bookmarkEnd w:id="559"/>
    </w:p>
    <w:p>
      <w:pPr>
        <w:pStyle w:val="5"/>
        <w:rPr>
          <w:rFonts w:asciiTheme="majorHAnsi" w:hAnsiTheme="majorHAnsi" w:cstheme="majorBidi"/>
          <w:color w:val="2B579A"/>
          <w:sz w:val="22"/>
          <w:szCs w:val="22"/>
          <w:shd w:val="clear" w:color="auto" w:fill="E6E6E6"/>
        </w:rPr>
      </w:pPr>
      <w:r>
        <w:rPr>
          <w:rFonts w:asciiTheme="majorHAnsi" w:hAnsiTheme="majorHAnsi" w:cstheme="majorHAnsi"/>
          <w:color w:val="2B579A"/>
          <w:sz w:val="22"/>
          <w:szCs w:val="22"/>
          <w:shd w:val="clear" w:color="auto" w:fill="E6E6E6"/>
        </w:rPr>
        <w:object>
          <v:shape id="_x0000_i1025" o:spt="75" type="#_x0000_t75" style="height:616.5pt;width:522.75pt;" o:ole="t" filled="f" o:preferrelative="t" stroked="f" coordsize="21600,21600">
            <v:path/>
            <v:fill on="f" focussize="0,0"/>
            <v:stroke on="f" joinstyle="miter"/>
            <v:imagedata r:id="rId24" o:title=""/>
            <o:lock v:ext="edit" aspectratio="t"/>
            <w10:wrap type="none"/>
            <w10:anchorlock/>
          </v:shape>
          <o:OLEObject Type="Embed" ProgID="Visio.Drawing.15" ShapeID="_x0000_i1025" DrawAspect="Content" ObjectID="_1468075725" r:id="rId23">
            <o:LockedField>false</o:LockedField>
          </o:OLEObject>
        </w:object>
      </w:r>
    </w:p>
    <w:p>
      <w:pPr>
        <w:rPr>
          <w:rFonts w:asciiTheme="majorHAnsi" w:hAnsiTheme="majorHAnsi" w:cstheme="majorHAnsi"/>
          <w:color w:val="2B579A"/>
          <w:sz w:val="22"/>
          <w:szCs w:val="22"/>
          <w:shd w:val="clear" w:color="auto" w:fill="E6E6E6"/>
        </w:rPr>
      </w:pPr>
      <w:r>
        <w:rPr>
          <w:rFonts w:asciiTheme="majorHAnsi" w:hAnsiTheme="majorHAnsi" w:cstheme="majorHAnsi"/>
          <w:color w:val="2B579A"/>
          <w:sz w:val="22"/>
          <w:szCs w:val="22"/>
          <w:shd w:val="clear" w:color="auto" w:fill="E6E6E6"/>
        </w:rPr>
        <w:br w:type="page"/>
      </w:r>
    </w:p>
    <w:p>
      <w:pPr>
        <w:pStyle w:val="7"/>
        <w:rPr>
          <w:rFonts w:cstheme="majorHAnsi"/>
        </w:rPr>
      </w:pPr>
      <w:bookmarkStart w:id="560" w:name="_Toc101453920"/>
      <w:bookmarkStart w:id="561" w:name="_Toc101532387"/>
      <w:r>
        <w:rPr>
          <w:rFonts w:cstheme="majorHAnsi"/>
        </w:rPr>
        <w:t>12.5</w:t>
      </w:r>
      <w:r>
        <w:rPr>
          <w:rFonts w:cstheme="majorHAnsi"/>
        </w:rPr>
        <w:tab/>
      </w:r>
      <w:r>
        <w:rPr>
          <w:rFonts w:cstheme="majorHAnsi"/>
        </w:rPr>
        <w:t>Appendix 5 – Complaint process</w:t>
      </w:r>
      <w:bookmarkEnd w:id="560"/>
      <w:bookmarkEnd w:id="561"/>
    </w:p>
    <w:p>
      <w:pPr>
        <w:pStyle w:val="5"/>
        <w:rPr>
          <w:rFonts w:asciiTheme="majorHAnsi" w:hAnsiTheme="majorHAnsi" w:cstheme="majorHAnsi"/>
        </w:rPr>
      </w:pPr>
    </w:p>
    <w:p>
      <w:pPr>
        <w:pStyle w:val="5"/>
        <w:ind w:left="709"/>
        <w:rPr>
          <w:rFonts w:asciiTheme="majorHAnsi" w:hAnsiTheme="majorHAnsi" w:cstheme="majorHAnsi"/>
        </w:rPr>
      </w:pPr>
      <w:r>
        <w:rPr>
          <w:rFonts w:asciiTheme="majorHAnsi" w:hAnsiTheme="majorHAnsi" w:cstheme="majorHAnsi"/>
          <w:lang w:eastAsia="en-GB"/>
        </w:rPr>
        <w:drawing>
          <wp:inline distT="0" distB="0" distL="0" distR="0">
            <wp:extent cx="5172075" cy="7964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5173445" cy="7966281"/>
                    </a:xfrm>
                    <a:prstGeom prst="rect">
                      <a:avLst/>
                    </a:prstGeom>
                  </pic:spPr>
                </pic:pic>
              </a:graphicData>
            </a:graphic>
          </wp:inline>
        </w:drawing>
      </w:r>
    </w:p>
    <w:p>
      <w:pPr>
        <w:pStyle w:val="5"/>
        <w:rPr>
          <w:rFonts w:asciiTheme="majorHAnsi" w:hAnsiTheme="majorHAnsi" w:cstheme="majorHAnsi"/>
        </w:rPr>
      </w:pPr>
    </w:p>
    <w:p>
      <w:pPr>
        <w:pStyle w:val="7"/>
        <w:rPr>
          <w:rFonts w:cstheme="majorHAnsi"/>
        </w:rPr>
      </w:pPr>
      <w:bookmarkStart w:id="562" w:name="_Toc101453921"/>
      <w:bookmarkStart w:id="563" w:name="_Toc101532388"/>
      <w:r>
        <w:rPr>
          <w:rFonts w:cstheme="majorHAnsi"/>
        </w:rPr>
        <w:t>12.6</w:t>
      </w:r>
      <w:r>
        <w:rPr>
          <w:rFonts w:cstheme="majorHAnsi"/>
        </w:rPr>
        <w:tab/>
      </w:r>
      <w:r>
        <w:rPr>
          <w:rFonts w:cstheme="majorHAnsi"/>
        </w:rPr>
        <w:t>Appendix 6 – Review process</w:t>
      </w:r>
      <w:bookmarkEnd w:id="562"/>
      <w:bookmarkEnd w:id="563"/>
    </w:p>
    <w:p>
      <w:pPr>
        <w:pStyle w:val="5"/>
        <w:rPr>
          <w:rFonts w:asciiTheme="majorHAnsi" w:hAnsiTheme="majorHAnsi" w:cstheme="majorHAnsi"/>
        </w:rPr>
      </w:pPr>
      <w:bookmarkStart w:id="564" w:name="_Toc99110902"/>
      <w:r>
        <w:rPr>
          <w:rFonts w:asciiTheme="majorHAnsi" w:hAnsiTheme="majorHAnsi" w:cstheme="majorHAnsi"/>
          <w:lang w:eastAsia="en-GB"/>
        </w:rPr>
        <w:drawing>
          <wp:inline distT="0" distB="0" distL="0" distR="0">
            <wp:extent cx="6056630" cy="85058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a:stretch>
                      <a:fillRect/>
                    </a:stretch>
                  </pic:blipFill>
                  <pic:spPr>
                    <a:xfrm>
                      <a:off x="0" y="0"/>
                      <a:ext cx="6059835" cy="8509769"/>
                    </a:xfrm>
                    <a:prstGeom prst="rect">
                      <a:avLst/>
                    </a:prstGeom>
                  </pic:spPr>
                </pic:pic>
              </a:graphicData>
            </a:graphic>
          </wp:inline>
        </w:drawing>
      </w:r>
      <w:bookmarkEnd w:id="564"/>
    </w:p>
    <w:p>
      <w:pPr>
        <w:pStyle w:val="8"/>
        <w:rPr>
          <w:rFonts w:cstheme="majorHAnsi"/>
        </w:rPr>
      </w:pPr>
    </w:p>
    <w:p>
      <w:pPr>
        <w:pStyle w:val="7"/>
        <w:rPr>
          <w:rFonts w:cstheme="majorHAnsi"/>
        </w:rPr>
      </w:pPr>
      <w:bookmarkStart w:id="565" w:name="_Toc101532389"/>
      <w:bookmarkStart w:id="566" w:name="_Toc101453922"/>
      <w:r>
        <w:rPr>
          <w:rFonts w:cstheme="majorHAnsi"/>
        </w:rPr>
        <w:t>12.7</w:t>
      </w:r>
      <w:r>
        <w:rPr>
          <w:rFonts w:cstheme="majorHAnsi"/>
        </w:rPr>
        <w:tab/>
      </w:r>
      <w:r>
        <w:rPr>
          <w:rFonts w:cstheme="majorHAnsi"/>
        </w:rPr>
        <w:t>Appendix 7 – Fraud process</w:t>
      </w:r>
      <w:bookmarkEnd w:id="565"/>
      <w:bookmarkEnd w:id="566"/>
    </w:p>
    <w:p>
      <w:pPr>
        <w:pStyle w:val="5"/>
        <w:rPr>
          <w:rFonts w:asciiTheme="majorHAnsi" w:hAnsiTheme="majorHAnsi" w:cstheme="majorHAnsi"/>
        </w:rPr>
      </w:pPr>
    </w:p>
    <w:p>
      <w:pPr>
        <w:pStyle w:val="5"/>
        <w:ind w:left="284"/>
        <w:rPr>
          <w:rFonts w:asciiTheme="majorHAnsi" w:hAnsiTheme="majorHAnsi" w:cstheme="majorHAnsi"/>
        </w:rPr>
      </w:pPr>
      <w:r>
        <w:rPr>
          <w:rFonts w:asciiTheme="majorHAnsi" w:hAnsiTheme="majorHAnsi" w:cstheme="majorHAnsi"/>
          <w:lang w:eastAsia="en-GB"/>
        </w:rPr>
        <w:drawing>
          <wp:inline distT="0" distB="0" distL="0" distR="0">
            <wp:extent cx="5067300" cy="8310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a:stretch>
                      <a:fillRect/>
                    </a:stretch>
                  </pic:blipFill>
                  <pic:spPr>
                    <a:xfrm>
                      <a:off x="0" y="0"/>
                      <a:ext cx="5068996" cy="8313616"/>
                    </a:xfrm>
                    <a:prstGeom prst="rect">
                      <a:avLst/>
                    </a:prstGeom>
                  </pic:spPr>
                </pic:pic>
              </a:graphicData>
            </a:graphic>
          </wp:inline>
        </w:drawing>
      </w:r>
    </w:p>
    <w:p>
      <w:pPr>
        <w:pStyle w:val="2"/>
        <w:rPr>
          <w:rFonts w:cstheme="majorHAnsi"/>
        </w:rPr>
      </w:pPr>
      <w:bookmarkStart w:id="567" w:name="_Toc101453923"/>
      <w:bookmarkStart w:id="568" w:name="_Toc101532390"/>
      <w:bookmarkStart w:id="569" w:name="_Toc898024518"/>
      <w:bookmarkStart w:id="570" w:name="_Toc90388405"/>
      <w:bookmarkStart w:id="571" w:name="_Toc1731618057"/>
      <w:bookmarkStart w:id="572" w:name="_Toc188110975"/>
      <w:bookmarkStart w:id="573" w:name="_Toc1666405853"/>
      <w:bookmarkStart w:id="574" w:name="_Toc90394310"/>
      <w:r>
        <w:rPr>
          <w:rFonts w:cstheme="majorHAnsi"/>
        </w:rPr>
        <w:t>Glossary</w:t>
      </w:r>
      <w:bookmarkEnd w:id="567"/>
      <w:bookmarkEnd w:id="568"/>
      <w:bookmarkEnd w:id="569"/>
      <w:bookmarkEnd w:id="570"/>
      <w:bookmarkEnd w:id="571"/>
      <w:bookmarkEnd w:id="572"/>
      <w:bookmarkEnd w:id="573"/>
      <w:bookmarkEnd w:id="574"/>
    </w:p>
    <w:tbl>
      <w:tblPr>
        <w:tblStyle w:val="115"/>
        <w:tblW w:w="0" w:type="auto"/>
        <w:tblInd w:w="0" w:type="dxa"/>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Layout w:type="autofit"/>
        <w:tblCellMar>
          <w:top w:w="0" w:type="dxa"/>
          <w:left w:w="108" w:type="dxa"/>
          <w:bottom w:w="0" w:type="dxa"/>
          <w:right w:w="108" w:type="dxa"/>
        </w:tblCellMar>
      </w:tblPr>
      <w:tblGrid>
        <w:gridCol w:w="1937"/>
        <w:gridCol w:w="7691"/>
      </w:tblGrid>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Term</w:t>
            </w:r>
          </w:p>
        </w:tc>
        <w:tc>
          <w:tcPr>
            <w:tcW w:w="7691" w:type="dxa"/>
            <w:tcBorders>
              <w:top w:val="single" w:color="152C46" w:themeColor="text1" w:sz="4" w:space="0"/>
              <w:bottom w:val="single" w:color="152C46" w:themeColor="text1" w:sz="4" w:space="0"/>
            </w:tcBorders>
            <w:shd w:val="clear" w:color="auto" w:fill="152C46" w:themeFill="text1"/>
          </w:tcPr>
          <w:p>
            <w:pPr>
              <w:spacing w:before="120" w:after="120" w:line="240" w:lineRule="auto"/>
              <w:rPr>
                <w:rFonts w:asciiTheme="majorHAnsi" w:hAnsiTheme="majorHAnsi" w:cstheme="majorHAnsi"/>
                <w:b/>
                <w:color w:val="FFFFFF" w:themeColor="background1"/>
                <w14:textFill>
                  <w14:solidFill>
                    <w14:schemeClr w14:val="bg1"/>
                  </w14:solidFill>
                </w14:textFill>
              </w:rPr>
            </w:pPr>
            <w:r>
              <w:rPr>
                <w:rFonts w:asciiTheme="majorHAnsi" w:hAnsiTheme="majorHAnsi" w:cstheme="majorHAnsi"/>
                <w:b/>
                <w:color w:val="FFFFFF" w:themeColor="background1"/>
                <w14:textFill>
                  <w14:solidFill>
                    <w14:schemeClr w14:val="bg1"/>
                  </w14:solidFill>
                </w14:textFill>
              </w:rPr>
              <w:t>Definition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tcBorders>
              <w:top w:val="single" w:color="152C46" w:themeColor="text1" w:sz="4" w:space="0"/>
            </w:tcBorders>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AEP</w:t>
            </w:r>
          </w:p>
        </w:tc>
        <w:tc>
          <w:tcPr>
            <w:tcW w:w="7691" w:type="dxa"/>
            <w:tcBorders>
              <w:top w:val="single" w:color="152C46" w:themeColor="text1" w:sz="4" w:space="0"/>
            </w:tcBorders>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Accredited Employer Programme</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AE</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Accredited Employer</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Act</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Accident Compensation Act 2001, the legislation that governs the ACC programme</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Case Owner</w:t>
            </w:r>
          </w:p>
        </w:tc>
        <w:tc>
          <w:tcPr>
            <w:tcW w:w="7691" w:type="dxa"/>
            <w:shd w:val="clear" w:color="auto" w:fill="FFFFFF" w:themeFill="background1"/>
          </w:tcPr>
          <w:p>
            <w:pPr>
              <w:spacing w:before="120" w:after="120" w:line="240" w:lineRule="auto"/>
              <w:rPr>
                <w:rFonts w:eastAsia="Times New Roman" w:asciiTheme="majorHAnsi" w:hAnsiTheme="majorHAnsi" w:cstheme="majorHAnsi"/>
                <w:color w:val="152C46" w:themeColor="text1"/>
                <w:lang w:eastAsia="en-GB"/>
                <w14:textFill>
                  <w14:solidFill>
                    <w14:schemeClr w14:val="tx1"/>
                  </w14:solidFill>
                </w14:textFill>
              </w:rPr>
            </w:pPr>
            <w:r>
              <w:rPr>
                <w:rFonts w:asciiTheme="majorHAnsi" w:hAnsiTheme="majorHAnsi" w:cstheme="majorHAnsi"/>
                <w:color w:val="152C46" w:themeColor="text1"/>
                <w14:textFill>
                  <w14:solidFill>
                    <w14:schemeClr w14:val="tx1"/>
                  </w14:solidFill>
                </w14:textFill>
              </w:rPr>
              <w:t>Person responsible for managing the claim</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DOFI</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eastAsia="Times New Roman" w:asciiTheme="majorHAnsi" w:hAnsiTheme="majorHAnsi" w:cstheme="majorHAnsi"/>
                <w:color w:val="152C46" w:themeColor="text1"/>
                <w:lang w:eastAsia="en-GB"/>
                <w14:textFill>
                  <w14:solidFill>
                    <w14:schemeClr w14:val="tx1"/>
                  </w14:solidFill>
                </w14:textFill>
              </w:rPr>
              <w:t xml:space="preserve">First Date of Incapacity </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DOSI</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eastAsia="Times New Roman" w:asciiTheme="majorHAnsi" w:hAnsiTheme="majorHAnsi" w:cstheme="majorHAnsi"/>
                <w:color w:val="152C46" w:themeColor="text1"/>
                <w:lang w:eastAsia="en-GB"/>
                <w14:textFill>
                  <w14:solidFill>
                    <w14:schemeClr w14:val="tx1"/>
                  </w14:solidFill>
                </w14:textFill>
              </w:rPr>
              <w:t>Date of Subsequent Incapacity (DOSI)</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PICBA</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Personal Injury caused by accident claim</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OHN</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Occupational Health Nurse</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OHT</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Occupational Health Team</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OIC</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Order in Council – Each year ACC looks at two indices and the minimum wage and advise if there is any change to the ACC statutory payment rates</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IRP</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Individual Rehabilitation Plan</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Third Party Administrator (TPA)</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Third party subcontracted by an Accredited Employer to assist them to meet their performance obligations. The overall responsibility of the programme remains between the employer and ACC</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Senior HC Staff Member</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Operations Partner, Quality Manager, Senior Case Manager</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WRGPDI</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Work related gradual process disease or infection claim</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ACC18</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Medical certificate</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ACC45</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The form the treatment provider completes at the initial treatment. It provides details about the claim and any initial incapacity</w:t>
            </w:r>
          </w:p>
        </w:tc>
      </w:tr>
      <w:tr>
        <w:tblPrEx>
          <w:tblBorders>
            <w:top w:val="single" w:color="1E9FD7" w:themeColor="accent3" w:sz="4" w:space="0"/>
            <w:left w:val="none" w:color="auto" w:sz="0" w:space="0"/>
            <w:bottom w:val="single" w:color="1E9FD7" w:themeColor="accent3" w:sz="4" w:space="0"/>
            <w:right w:val="none" w:color="auto" w:sz="0" w:space="0"/>
            <w:insideH w:val="single" w:color="1E9FD7" w:themeColor="accent3" w:sz="4" w:space="0"/>
            <w:insideV w:val="none" w:color="auto" w:sz="0" w:space="0"/>
          </w:tblBorders>
          <w:tblCellMar>
            <w:top w:w="0" w:type="dxa"/>
            <w:left w:w="108" w:type="dxa"/>
            <w:bottom w:w="0" w:type="dxa"/>
            <w:right w:w="108" w:type="dxa"/>
          </w:tblCellMar>
        </w:tblPrEx>
        <w:tc>
          <w:tcPr>
            <w:tcW w:w="1937" w:type="dxa"/>
            <w:shd w:val="clear" w:color="auto" w:fill="F1F1F1" w:themeFill="background1" w:themeFillShade="F2"/>
          </w:tcPr>
          <w:p>
            <w:pPr>
              <w:spacing w:before="120" w:after="120" w:line="240" w:lineRule="auto"/>
              <w:rPr>
                <w:rFonts w:asciiTheme="majorHAnsi" w:hAnsiTheme="majorHAnsi" w:cstheme="majorHAnsi"/>
                <w:b/>
                <w:color w:val="152C46" w:themeColor="text1"/>
                <w14:textFill>
                  <w14:solidFill>
                    <w14:schemeClr w14:val="tx1"/>
                  </w14:solidFill>
                </w14:textFill>
              </w:rPr>
            </w:pPr>
            <w:r>
              <w:rPr>
                <w:rFonts w:asciiTheme="majorHAnsi" w:hAnsiTheme="majorHAnsi" w:cstheme="majorHAnsi"/>
                <w:b/>
                <w:color w:val="152C46" w:themeColor="text1"/>
                <w14:textFill>
                  <w14:solidFill>
                    <w14:schemeClr w14:val="tx1"/>
                  </w14:solidFill>
                </w14:textFill>
              </w:rPr>
              <w:t>University of Otago OHN</w:t>
            </w:r>
          </w:p>
        </w:tc>
        <w:tc>
          <w:tcPr>
            <w:tcW w:w="7691" w:type="dxa"/>
            <w:shd w:val="clear" w:color="auto" w:fill="FFFFFF" w:themeFill="background1"/>
          </w:tcPr>
          <w:p>
            <w:pPr>
              <w:spacing w:before="120" w:after="120" w:line="240" w:lineRule="auto"/>
              <w:rPr>
                <w:rFonts w:asciiTheme="majorHAnsi" w:hAnsiTheme="majorHAnsi" w:cstheme="majorHAnsi"/>
                <w:color w:val="152C46" w:themeColor="text1"/>
                <w14:textFill>
                  <w14:solidFill>
                    <w14:schemeClr w14:val="tx1"/>
                  </w14:solidFill>
                </w14:textFill>
              </w:rPr>
            </w:pPr>
            <w:r>
              <w:rPr>
                <w:rFonts w:asciiTheme="majorHAnsi" w:hAnsiTheme="majorHAnsi" w:cstheme="majorHAnsi"/>
                <w:color w:val="152C46" w:themeColor="text1"/>
                <w14:textFill>
                  <w14:solidFill>
                    <w14:schemeClr w14:val="tx1"/>
                  </w14:solidFill>
                </w14:textFill>
              </w:rPr>
              <w:t>University of Otago Occupational Health Nurse or member of the Occupational Health team.</w:t>
            </w:r>
          </w:p>
        </w:tc>
      </w:tr>
    </w:tbl>
    <w:p>
      <w:pPr>
        <w:pStyle w:val="5"/>
        <w:rPr>
          <w:rFonts w:asciiTheme="majorHAnsi" w:hAnsiTheme="majorHAnsi" w:cstheme="majorHAnsi"/>
        </w:rPr>
        <w:sectPr>
          <w:headerReference r:id="rId15" w:type="default"/>
          <w:type w:val="continuous"/>
          <w:pgSz w:w="11906" w:h="16838"/>
          <w:pgMar w:top="993" w:right="1134" w:bottom="992" w:left="1134" w:header="454" w:footer="680" w:gutter="0"/>
          <w:cols w:space="708" w:num="1"/>
          <w:docGrid w:linePitch="360" w:charSpace="0"/>
        </w:sectPr>
      </w:pPr>
    </w:p>
    <w:bookmarkEnd w:id="1"/>
    <w:p>
      <w:pPr>
        <w:pStyle w:val="5"/>
        <w:rPr>
          <w:rFonts w:asciiTheme="majorHAnsi" w:hAnsiTheme="majorHAnsi" w:cstheme="majorHAnsi"/>
        </w:rPr>
      </w:pPr>
      <w:bookmarkStart w:id="575" w:name="OpenAt"/>
      <w:bookmarkEnd w:id="575"/>
    </w:p>
    <w:sectPr>
      <w:headerReference r:id="rId16" w:type="default"/>
      <w:footerReference r:id="rId18" w:type="default"/>
      <w:headerReference r:id="rId17" w:type="even"/>
      <w:footerReference r:id="rId19" w:type="even"/>
      <w:pgSz w:w="11906" w:h="16838"/>
      <w:pgMar w:top="10773" w:right="1134" w:bottom="567" w:left="680" w:header="964" w:footer="68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Wingdings 3">
    <w:panose1 w:val="05040102010807070707"/>
    <w:charset w:val="02"/>
    <w:family w:val="roman"/>
    <w:pitch w:val="default"/>
    <w:sig w:usb0="00000000" w:usb1="00000000" w:usb2="00000000" w:usb3="00000000" w:csb0="80000000" w:csb1="00000000"/>
  </w:font>
  <w:font w:name="MinionPro-Regular">
    <w:altName w:val="Calibri"/>
    <w:panose1 w:val="00000000000000000000"/>
    <w:charset w:val="00"/>
    <w:family w:val="auto"/>
    <w:pitch w:val="default"/>
    <w:sig w:usb0="00000000" w:usb1="00000000" w:usb2="00000000" w:usb3="00000000" w:csb0="00000001" w:csb1="00000000"/>
  </w:font>
  <w:font w:name="SymbolMT">
    <w:altName w:val="Times New Roman"/>
    <w:panose1 w:val="00000000000000000000"/>
    <w:charset w:val="00"/>
    <w:family w:val="roman"/>
    <w:pitch w:val="default"/>
    <w:sig w:usb0="00000000" w:usb1="00000000" w:usb2="00000000" w:usb3="00000000" w:csb0="00000000" w:csb1="00000000"/>
  </w:font>
  <w:font w:name="Manrope">
    <w:altName w:val="Calibri"/>
    <w:panose1 w:val="00000000000000000000"/>
    <w:charset w:val="00"/>
    <w:family w:val="auto"/>
    <w:pitch w:val="default"/>
    <w:sig w:usb0="00000000" w:usb1="00000000" w:usb2="00000000" w:usb3="00000000" w:csb0="0000019F" w:csb1="00000000"/>
  </w:font>
  <w:font w:name="Helvetica">
    <w:altName w:val="Arial"/>
    <w:panose1 w:val="020B0604020202020204"/>
    <w:charset w:val="00"/>
    <w:family w:val="swiss"/>
    <w:pitch w:val="default"/>
    <w:sig w:usb0="00000000" w:usb1="00000000" w:usb2="00000009" w:usb3="00000000" w:csb0="0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8"/>
      <w:tblW w:w="9639" w:type="dxa"/>
      <w:tblInd w:w="0" w:type="dxa"/>
      <w:tblBorders>
        <w:top w:val="single" w:color="7F7F7F" w:themeColor="text2"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804"/>
      <w:gridCol w:w="2835"/>
    </w:tblGrid>
    <w:tr>
      <w:tblPrEx>
        <w:tblBorders>
          <w:top w:val="single" w:color="7F7F7F" w:themeColor="text2" w:sz="4"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6803" w:type="dxa"/>
          <w:tcBorders>
            <w:top w:val="nil"/>
          </w:tcBorders>
          <w:vAlign w:val="center"/>
        </w:tcPr>
        <w:p>
          <w:pPr>
            <w:pStyle w:val="42"/>
          </w:pPr>
          <w:r>
            <w:rPr>
              <w:color w:val="00857E"/>
            </w:rPr>
            <w:fldChar w:fldCharType="begin"/>
          </w:r>
          <w:r>
            <w:rPr>
              <w:color w:val="00857E"/>
            </w:rPr>
            <w:instrText xml:space="preserve"> PAGE  </w:instrText>
          </w:r>
          <w:r>
            <w:rPr>
              <w:color w:val="00857E"/>
            </w:rPr>
            <w:fldChar w:fldCharType="separate"/>
          </w:r>
          <w:r>
            <w:rPr>
              <w:color w:val="00857E"/>
            </w:rPr>
            <w:t>0</w:t>
          </w:r>
          <w:r>
            <w:rPr>
              <w:color w:val="00857E"/>
            </w:rPr>
            <w:fldChar w:fldCharType="end"/>
          </w:r>
          <w:r>
            <w:t> </w:t>
          </w:r>
          <w:r>
            <w:rPr>
              <w:rFonts w:ascii="Wingdings 3" w:hAnsi="Wingdings 3"/>
              <w:position w:val="-1"/>
            </w:rPr>
            <w:t></w:t>
          </w:r>
          <w:r>
            <w:rPr>
              <w:color w:val="D61634" w:themeColor="accent5" w:themeShade="BF"/>
            </w:rPr>
            <w:t xml:space="preserve"> HYPERION INSURANCE GROUP</w:t>
          </w:r>
          <w:r>
            <w:t xml:space="preserve"> </w:t>
          </w:r>
          <w:r>
            <w:fldChar w:fldCharType="begin"/>
          </w:r>
          <w:r>
            <w:instrText xml:space="preserve"> IF </w:instrText>
          </w:r>
          <w:r>
            <w:fldChar w:fldCharType="begin"/>
          </w:r>
          <w:r>
            <w:instrText xml:space="preserve">DOCVARIABLE  JLT_HideChapterHead</w:instrText>
          </w:r>
          <w:r>
            <w:fldChar w:fldCharType="separate"/>
          </w:r>
          <w:r>
            <w:instrText xml:space="preserve">False</w:instrText>
          </w:r>
          <w:r>
            <w:fldChar w:fldCharType="end"/>
          </w:r>
          <w:r>
            <w:instrText xml:space="preserve"> = False </w:instrText>
          </w:r>
          <w:r>
            <w:fldChar w:fldCharType="begin"/>
          </w:r>
          <w:r>
            <w:instrText xml:space="preserve"> IF </w:instrText>
          </w:r>
          <w:r>
            <w:fldChar w:fldCharType="begin"/>
          </w:r>
          <w:r>
            <w:instrText xml:space="preserve">DOCVARIABLE  JLT_FooterText</w:instrText>
          </w:r>
          <w:r>
            <w:fldChar w:fldCharType="separate"/>
          </w:r>
          <w:r>
            <w:instrText xml:space="preserve"> </w:instrText>
          </w:r>
          <w:r>
            <w:fldChar w:fldCharType="end"/>
          </w:r>
          <w:r>
            <w:instrText xml:space="preserve"> &lt;&gt; " " " </w:instrText>
          </w:r>
          <w:r>
            <w:rPr>
              <w:b/>
              <w:color w:val="7F7F7F" w:themeColor="text2"/>
              <w14:textFill>
                <w14:solidFill>
                  <w14:schemeClr w14:val="tx2"/>
                </w14:solidFill>
              </w14:textFill>
            </w:rPr>
            <w:instrText xml:space="preserve">|</w:instrText>
          </w:r>
          <w:r>
            <w:instrText xml:space="preserve"> " "" </w:instrText>
          </w:r>
          <w:r>
            <w:fldChar w:fldCharType="end"/>
          </w:r>
          <w:r>
            <w:instrText xml:space="preserve"> "" </w:instrText>
          </w:r>
          <w:r>
            <w:fldChar w:fldCharType="end"/>
          </w:r>
          <w:r>
            <w:fldChar w:fldCharType="begin"/>
          </w:r>
          <w:r>
            <w:instrText xml:space="preserve"> IF </w:instrText>
          </w:r>
          <w:r>
            <w:fldChar w:fldCharType="begin"/>
          </w:r>
          <w:r>
            <w:instrText xml:space="preserve">DOCVARIABLE  JLT_FooterText</w:instrText>
          </w:r>
          <w:r>
            <w:fldChar w:fldCharType="separate"/>
          </w:r>
          <w:r>
            <w:instrText xml:space="preserve"> </w:instrText>
          </w:r>
          <w:r>
            <w:fldChar w:fldCharType="end"/>
          </w:r>
          <w:r>
            <w:instrText xml:space="preserve"> = " " "" "</w:instrText>
          </w:r>
          <w:r>
            <w:fldChar w:fldCharType="begin"/>
          </w:r>
          <w:r>
            <w:instrText xml:space="preserve">DOCVARIABLE  JLT_FooterText</w:instrText>
          </w:r>
          <w:r>
            <w:fldChar w:fldCharType="separate"/>
          </w:r>
          <w:r>
            <w:instrText xml:space="preserve">Optional text</w:instrText>
          </w:r>
          <w:r>
            <w:fldChar w:fldCharType="end"/>
          </w:r>
          <w:r>
            <w:instrText xml:space="preserve">" </w:instrText>
          </w:r>
          <w:r>
            <w:fldChar w:fldCharType="end"/>
          </w:r>
        </w:p>
      </w:tc>
      <w:tc>
        <w:tcPr>
          <w:tcW w:w="2835" w:type="dxa"/>
          <w:tcBorders>
            <w:top w:val="nil"/>
          </w:tcBorders>
          <w:vAlign w:val="center"/>
        </w:tcPr>
        <w:p>
          <w:pPr>
            <w:pStyle w:val="42"/>
            <w:jc w:val="right"/>
          </w:pPr>
        </w:p>
      </w:tc>
    </w:tr>
  </w:tbl>
  <w:p>
    <w:pPr>
      <w:pStyle w:val="2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8"/>
      <w:tblW w:w="9498" w:type="dxa"/>
      <w:tblInd w:w="0" w:type="dxa"/>
      <w:tblBorders>
        <w:top w:val="single" w:color="7F7F7F" w:themeColor="text2"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02"/>
      <w:gridCol w:w="6096"/>
    </w:tblGrid>
    <w:tr>
      <w:tblPrEx>
        <w:tblBorders>
          <w:top w:val="single" w:color="7F7F7F" w:themeColor="text2" w:sz="4"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3402" w:type="dxa"/>
          <w:tcBorders>
            <w:top w:val="nil"/>
          </w:tcBorders>
          <w:vAlign w:val="center"/>
        </w:tcPr>
        <w:p>
          <w:pPr>
            <w:pStyle w:val="42"/>
          </w:pPr>
          <w:r>
            <w:fldChar w:fldCharType="begin"/>
          </w:r>
          <w:r>
            <w:instrText xml:space="preserve"> IF </w:instrText>
          </w:r>
          <w:r>
            <w:fldChar w:fldCharType="begin"/>
          </w:r>
          <w:r>
            <w:instrText xml:space="preserve">DOCVARIABLE  JLT_HideChapterHead</w:instrText>
          </w:r>
          <w:r>
            <w:fldChar w:fldCharType="separate"/>
          </w:r>
          <w:r>
            <w:instrText xml:space="preserve">False</w:instrText>
          </w:r>
          <w:r>
            <w:fldChar w:fldCharType="end"/>
          </w:r>
          <w:r>
            <w:instrText xml:space="preserve"> = False </w:instrText>
          </w:r>
          <w:r>
            <w:fldChar w:fldCharType="begin"/>
          </w:r>
          <w:r>
            <w:instrText xml:space="preserve"> IF </w:instrText>
          </w:r>
          <w:r>
            <w:fldChar w:fldCharType="begin"/>
          </w:r>
          <w:r>
            <w:instrText xml:space="preserve">DOCVARIABLE  JLT_FooterText</w:instrText>
          </w:r>
          <w:r>
            <w:fldChar w:fldCharType="separate"/>
          </w:r>
          <w:r>
            <w:instrText xml:space="preserve"> </w:instrText>
          </w:r>
          <w:r>
            <w:fldChar w:fldCharType="end"/>
          </w:r>
          <w:r>
            <w:instrText xml:space="preserve"> &lt;&gt; " " " </w:instrText>
          </w:r>
          <w:r>
            <w:rPr>
              <w:b/>
              <w:color w:val="7F7F7F" w:themeColor="text2"/>
              <w14:textFill>
                <w14:solidFill>
                  <w14:schemeClr w14:val="tx2"/>
                </w14:solidFill>
              </w14:textFill>
            </w:rPr>
            <w:instrText xml:space="preserve">|</w:instrText>
          </w:r>
          <w:r>
            <w:instrText xml:space="preserve"> " "" </w:instrText>
          </w:r>
          <w:r>
            <w:fldChar w:fldCharType="end"/>
          </w:r>
          <w:r>
            <w:instrText xml:space="preserve"> "" </w:instrText>
          </w:r>
          <w:r>
            <w:fldChar w:fldCharType="end"/>
          </w:r>
          <w:r>
            <w:fldChar w:fldCharType="begin"/>
          </w:r>
          <w:r>
            <w:instrText xml:space="preserve"> IF </w:instrText>
          </w:r>
          <w:r>
            <w:fldChar w:fldCharType="begin"/>
          </w:r>
          <w:r>
            <w:instrText xml:space="preserve">DOCVARIABLE  JLT_FooterText</w:instrText>
          </w:r>
          <w:r>
            <w:fldChar w:fldCharType="separate"/>
          </w:r>
          <w:r>
            <w:instrText xml:space="preserve"> </w:instrText>
          </w:r>
          <w:r>
            <w:fldChar w:fldCharType="end"/>
          </w:r>
          <w:r>
            <w:instrText xml:space="preserve"> = " " "" "</w:instrText>
          </w:r>
          <w:r>
            <w:fldChar w:fldCharType="begin"/>
          </w:r>
          <w:r>
            <w:instrText xml:space="preserve">DOCVARIABLE  JLT_FooterText</w:instrText>
          </w:r>
          <w:r>
            <w:fldChar w:fldCharType="separate"/>
          </w:r>
          <w:r>
            <w:instrText xml:space="preserve">Optional text</w:instrText>
          </w:r>
          <w:r>
            <w:fldChar w:fldCharType="end"/>
          </w:r>
          <w:r>
            <w:instrText xml:space="preserve">" </w:instrText>
          </w:r>
          <w:r>
            <w:fldChar w:fldCharType="end"/>
          </w:r>
        </w:p>
      </w:tc>
      <w:tc>
        <w:tcPr>
          <w:tcW w:w="6096" w:type="dxa"/>
          <w:tcBorders>
            <w:top w:val="nil"/>
          </w:tcBorders>
          <w:vAlign w:val="center"/>
        </w:tcPr>
        <w:p>
          <w:pPr>
            <w:pStyle w:val="42"/>
            <w:jc w:val="right"/>
          </w:pPr>
          <w:r>
            <w:rPr>
              <w:caps w:val="0"/>
              <w:color w:val="2C4158"/>
            </w:rPr>
            <w:t>[Insert title here]</w:t>
          </w:r>
          <w:r>
            <w:rPr>
              <w:color w:val="2C4158"/>
            </w:rPr>
            <w:t xml:space="preserve">  │ </w:t>
          </w:r>
          <w:r>
            <w:rPr>
              <w:color w:val="002D50"/>
            </w:rPr>
            <w:t> </w:t>
          </w:r>
          <w:r>
            <w:rPr>
              <w:caps w:val="0"/>
              <w:color w:val="00E09E"/>
            </w:rPr>
            <w:fldChar w:fldCharType="begin"/>
          </w:r>
          <w:r>
            <w:rPr>
              <w:caps w:val="0"/>
              <w:color w:val="00E09E"/>
            </w:rPr>
            <w:instrText xml:space="preserve"> PAGE  </w:instrText>
          </w:r>
          <w:r>
            <w:rPr>
              <w:caps w:val="0"/>
              <w:color w:val="00E09E"/>
            </w:rPr>
            <w:fldChar w:fldCharType="separate"/>
          </w:r>
          <w:r>
            <w:rPr>
              <w:caps w:val="0"/>
              <w:color w:val="00E09E"/>
            </w:rPr>
            <w:t>ii</w:t>
          </w:r>
          <w:r>
            <w:rPr>
              <w:caps w:val="0"/>
              <w:color w:val="00E09E"/>
            </w:rPr>
            <w:fldChar w:fldCharType="end"/>
          </w:r>
        </w:p>
      </w:tc>
    </w:tr>
  </w:tbl>
  <w:p>
    <w:pPr>
      <w:pStyle w:val="2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8"/>
      <w:tblW w:w="9498" w:type="dxa"/>
      <w:tblInd w:w="0" w:type="dxa"/>
      <w:tblBorders>
        <w:top w:val="single" w:color="7F7F7F" w:themeColor="text2"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02"/>
      <w:gridCol w:w="6096"/>
    </w:tblGrid>
    <w:tr>
      <w:tblPrEx>
        <w:tblBorders>
          <w:top w:val="single" w:color="7F7F7F" w:themeColor="text2" w:sz="4"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3402" w:type="dxa"/>
          <w:tcBorders>
            <w:top w:val="nil"/>
          </w:tcBorders>
          <w:vAlign w:val="center"/>
        </w:tcPr>
        <w:p>
          <w:pPr>
            <w:pStyle w:val="42"/>
          </w:pPr>
          <w:r>
            <w:fldChar w:fldCharType="begin"/>
          </w:r>
          <w:r>
            <w:instrText xml:space="preserve"> IF </w:instrText>
          </w:r>
          <w:r>
            <w:fldChar w:fldCharType="begin"/>
          </w:r>
          <w:r>
            <w:instrText xml:space="preserve">DOCVARIABLE  JLT_HideChapterHead</w:instrText>
          </w:r>
          <w:r>
            <w:fldChar w:fldCharType="separate"/>
          </w:r>
          <w:r>
            <w:instrText xml:space="preserve">False</w:instrText>
          </w:r>
          <w:r>
            <w:fldChar w:fldCharType="end"/>
          </w:r>
          <w:r>
            <w:instrText xml:space="preserve"> = False </w:instrText>
          </w:r>
          <w:r>
            <w:fldChar w:fldCharType="begin"/>
          </w:r>
          <w:r>
            <w:instrText xml:space="preserve"> IF </w:instrText>
          </w:r>
          <w:r>
            <w:fldChar w:fldCharType="begin"/>
          </w:r>
          <w:r>
            <w:instrText xml:space="preserve">DOCVARIABLE  JLT_FooterText</w:instrText>
          </w:r>
          <w:r>
            <w:fldChar w:fldCharType="separate"/>
          </w:r>
          <w:r>
            <w:instrText xml:space="preserve"> </w:instrText>
          </w:r>
          <w:r>
            <w:fldChar w:fldCharType="end"/>
          </w:r>
          <w:r>
            <w:instrText xml:space="preserve"> &lt;&gt; " " " </w:instrText>
          </w:r>
          <w:r>
            <w:rPr>
              <w:b/>
              <w:color w:val="7F7F7F" w:themeColor="text2"/>
              <w14:textFill>
                <w14:solidFill>
                  <w14:schemeClr w14:val="tx2"/>
                </w14:solidFill>
              </w14:textFill>
            </w:rPr>
            <w:instrText xml:space="preserve">|</w:instrText>
          </w:r>
          <w:r>
            <w:instrText xml:space="preserve"> " "" </w:instrText>
          </w:r>
          <w:r>
            <w:fldChar w:fldCharType="end"/>
          </w:r>
          <w:r>
            <w:instrText xml:space="preserve"> "" </w:instrText>
          </w:r>
          <w:r>
            <w:fldChar w:fldCharType="end"/>
          </w:r>
          <w:r>
            <w:fldChar w:fldCharType="begin"/>
          </w:r>
          <w:r>
            <w:instrText xml:space="preserve"> IF </w:instrText>
          </w:r>
          <w:r>
            <w:fldChar w:fldCharType="begin"/>
          </w:r>
          <w:r>
            <w:instrText xml:space="preserve">DOCVARIABLE  JLT_FooterText</w:instrText>
          </w:r>
          <w:r>
            <w:fldChar w:fldCharType="separate"/>
          </w:r>
          <w:r>
            <w:instrText xml:space="preserve"> </w:instrText>
          </w:r>
          <w:r>
            <w:fldChar w:fldCharType="end"/>
          </w:r>
          <w:r>
            <w:instrText xml:space="preserve"> = " " "" "</w:instrText>
          </w:r>
          <w:r>
            <w:fldChar w:fldCharType="begin"/>
          </w:r>
          <w:r>
            <w:instrText xml:space="preserve">DOCVARIABLE  JLT_FooterText</w:instrText>
          </w:r>
          <w:r>
            <w:fldChar w:fldCharType="separate"/>
          </w:r>
          <w:r>
            <w:instrText xml:space="preserve">Optional text</w:instrText>
          </w:r>
          <w:r>
            <w:fldChar w:fldCharType="end"/>
          </w:r>
          <w:r>
            <w:instrText xml:space="preserve">" </w:instrText>
          </w:r>
          <w:r>
            <w:fldChar w:fldCharType="end"/>
          </w:r>
        </w:p>
      </w:tc>
      <w:tc>
        <w:tcPr>
          <w:tcW w:w="6096" w:type="dxa"/>
          <w:tcBorders>
            <w:top w:val="nil"/>
          </w:tcBorders>
          <w:vAlign w:val="center"/>
        </w:tcPr>
        <w:p>
          <w:pPr>
            <w:pStyle w:val="42"/>
            <w:jc w:val="right"/>
          </w:pPr>
          <w:r>
            <w:rPr>
              <w:caps w:val="0"/>
              <w:color w:val="2C4158"/>
            </w:rPr>
            <w:t>Claims Management Manual</w:t>
          </w:r>
          <w:r>
            <w:rPr>
              <w:color w:val="2C4158"/>
            </w:rPr>
            <w:t xml:space="preserve">  │ </w:t>
          </w:r>
          <w:r>
            <w:rPr>
              <w:color w:val="002D50"/>
            </w:rPr>
            <w:t> </w:t>
          </w:r>
          <w:r>
            <w:rPr>
              <w:color w:val="00E09E"/>
            </w:rPr>
            <w:fldChar w:fldCharType="begin"/>
          </w:r>
          <w:r>
            <w:rPr>
              <w:color w:val="00E09E"/>
            </w:rPr>
            <w:instrText xml:space="preserve"> PAGE  </w:instrText>
          </w:r>
          <w:r>
            <w:rPr>
              <w:color w:val="00E09E"/>
            </w:rPr>
            <w:fldChar w:fldCharType="separate"/>
          </w:r>
          <w:r>
            <w:rPr>
              <w:color w:val="00E09E"/>
            </w:rPr>
            <w:t>5</w:t>
          </w:r>
          <w:r>
            <w:rPr>
              <w:color w:val="00E09E"/>
            </w:rPr>
            <w:fldChar w:fldCharType="end"/>
          </w:r>
        </w:p>
      </w:tc>
    </w:tr>
  </w:tbl>
  <w:p>
    <w:pPr>
      <w:pStyle w:val="2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2" w:hRule="atLeast"/>
      </w:trPr>
      <w:tc>
        <w:tcPr>
          <w:tcW w:w="8931" w:type="dxa"/>
          <w:vAlign w:val="bottom"/>
        </w:tcPr>
        <w:p>
          <w:pPr>
            <w:pStyle w:val="357"/>
            <w:tabs>
              <w:tab w:val="left" w:pos="230"/>
              <w:tab w:val="left" w:pos="2304"/>
              <w:tab w:val="left" w:pos="2572"/>
              <w:tab w:val="left" w:pos="4409"/>
              <w:tab w:val="left" w:pos="4706"/>
            </w:tabs>
            <w:spacing w:line="276" w:lineRule="auto"/>
            <w:rPr>
              <w:rFonts w:asciiTheme="minorHAnsi" w:hAnsiTheme="minorHAnsi" w:cstheme="minorHAnsi"/>
              <w:b/>
              <w:bCs/>
              <w:color w:val="FFFFFF" w:themeColor="background1"/>
              <w:sz w:val="18"/>
              <w:szCs w:val="18"/>
              <w14:textFill>
                <w14:solidFill>
                  <w14:schemeClr w14:val="bg1"/>
                </w14:solidFill>
              </w14:textFill>
            </w:rPr>
          </w:pPr>
          <w:r>
            <w:rPr>
              <w:lang w:eastAsia="en-GB"/>
            </w:rPr>
            <w:drawing>
              <wp:inline distT="0" distB="0" distL="0" distR="0">
                <wp:extent cx="1619885" cy="2921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1619885" cy="2921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1" w:hRule="atLeast"/>
      </w:trPr>
      <w:tc>
        <w:tcPr>
          <w:tcW w:w="8931" w:type="dxa"/>
          <w:vAlign w:val="bottom"/>
        </w:tcPr>
        <w:p>
          <w:pPr>
            <w:pStyle w:val="255"/>
            <w:spacing w:line="276" w:lineRule="auto"/>
            <w:rPr>
              <w:rFonts w:cstheme="minorHAnsi"/>
              <w:color w:val="FFFFFF" w:themeColor="background1"/>
              <w:spacing w:val="-1"/>
              <w:sz w:val="14"/>
              <w:szCs w:val="18"/>
              <w14:textFill>
                <w14:solidFill>
                  <w14:schemeClr w14:val="bg1"/>
                </w14:solidFill>
              </w14:textFill>
            </w:rPr>
          </w:pPr>
          <w:r>
            <mc:AlternateContent>
              <mc:Choice Requires="wps">
                <w:drawing>
                  <wp:anchor distT="0" distB="0" distL="114300" distR="114300" simplePos="0" relativeHeight="251659264" behindDoc="0" locked="0" layoutInCell="1" allowOverlap="1">
                    <wp:simplePos x="0" y="0"/>
                    <wp:positionH relativeFrom="margin">
                      <wp:posOffset>-90170</wp:posOffset>
                    </wp:positionH>
                    <wp:positionV relativeFrom="paragraph">
                      <wp:posOffset>99060</wp:posOffset>
                    </wp:positionV>
                    <wp:extent cx="4962525" cy="2343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62525" cy="2343150"/>
                            </a:xfrm>
                            <a:prstGeom prst="rect">
                              <a:avLst/>
                            </a:prstGeom>
                            <a:noFill/>
                            <a:ln w="6350">
                              <a:noFill/>
                            </a:ln>
                          </wps:spPr>
                          <wps:txbx>
                            <w:txbxContent>
                              <w:p>
                                <w:pPr>
                                  <w:pStyle w:val="356"/>
                                  <w:tabs>
                                    <w:tab w:val="left" w:pos="230"/>
                                    <w:tab w:val="left" w:pos="2112"/>
                                    <w:tab w:val="left" w:pos="2363"/>
                                    <w:tab w:val="left" w:pos="4287"/>
                                    <w:tab w:val="left" w:pos="4580"/>
                                  </w:tabs>
                                  <w:suppressAutoHyphens/>
                                  <w:spacing w:line="276" w:lineRule="auto"/>
                                  <w:rPr>
                                    <w:rFonts w:asciiTheme="minorHAnsi" w:hAnsiTheme="minorHAnsi" w:cstheme="minorHAnsi"/>
                                    <w:color w:val="FFFFFF" w:themeColor="background1"/>
                                    <w:spacing w:val="-2"/>
                                    <w:sz w:val="18"/>
                                    <w:szCs w:val="18"/>
                                    <w14:textFill>
                                      <w14:solidFill>
                                        <w14:schemeClr w14:val="bg1"/>
                                      </w14:solidFill>
                                    </w14:textFill>
                                  </w:rPr>
                                </w:pPr>
                              </w:p>
                              <w:p>
                                <w:pPr>
                                  <w:pStyle w:val="356"/>
                                  <w:tabs>
                                    <w:tab w:val="left" w:pos="230"/>
                                    <w:tab w:val="left" w:pos="2112"/>
                                    <w:tab w:val="left" w:pos="2363"/>
                                    <w:tab w:val="left" w:pos="4287"/>
                                    <w:tab w:val="left" w:pos="4580"/>
                                  </w:tabs>
                                  <w:suppressAutoHyphens/>
                                  <w:spacing w:line="276" w:lineRule="auto"/>
                                  <w:rPr>
                                    <w:rFonts w:asciiTheme="minorHAnsi" w:hAnsiTheme="minorHAnsi" w:cstheme="minorHAnsi"/>
                                    <w:color w:val="FFFFFF" w:themeColor="background1"/>
                                    <w:spacing w:val="-2"/>
                                    <w:sz w:val="18"/>
                                    <w:szCs w:val="18"/>
                                    <w14:textFill>
                                      <w14:solidFill>
                                        <w14:schemeClr w14:val="bg1"/>
                                      </w14:solidFill>
                                    </w14:textFill>
                                  </w:rPr>
                                </w:pPr>
                              </w:p>
                              <w:p>
                                <w:pPr>
                                  <w:pStyle w:val="356"/>
                                  <w:tabs>
                                    <w:tab w:val="left" w:pos="230"/>
                                    <w:tab w:val="left" w:pos="2304"/>
                                    <w:tab w:val="left" w:pos="2572"/>
                                    <w:tab w:val="left" w:pos="4409"/>
                                    <w:tab w:val="left" w:pos="4706"/>
                                  </w:tabs>
                                  <w:suppressAutoHyphens/>
                                  <w:spacing w:after="60" w:line="276" w:lineRule="auto"/>
                                  <w:rPr>
                                    <w:rFonts w:asciiTheme="minorHAnsi" w:hAnsiTheme="minorHAnsi" w:cstheme="minorHAnsi"/>
                                    <w:b/>
                                    <w:bCs/>
                                    <w:color w:val="FFFFFF" w:themeColor="background1"/>
                                    <w:spacing w:val="-2"/>
                                    <w:sz w:val="18"/>
                                    <w:szCs w:val="18"/>
                                    <w14:textFill>
                                      <w14:solidFill>
                                        <w14:schemeClr w14:val="bg1"/>
                                      </w14:solidFill>
                                    </w14:textFill>
                                  </w:rPr>
                                </w:pPr>
                                <w:r>
                                  <w:rPr>
                                    <w:rFonts w:asciiTheme="minorHAnsi" w:hAnsiTheme="minorHAnsi" w:cstheme="minorHAnsi"/>
                                    <w:b/>
                                    <w:bCs/>
                                    <w:color w:val="FFFFFF" w:themeColor="background1"/>
                                    <w:spacing w:val="-2"/>
                                    <w:sz w:val="18"/>
                                    <w:szCs w:val="18"/>
                                    <w14:textFill>
                                      <w14:solidFill>
                                        <w14:schemeClr w14:val="bg1"/>
                                      </w14:solidFill>
                                    </w14:textFill>
                                  </w:rPr>
                                  <w:t>www.howdencare.co.nz</w:t>
                                </w:r>
                              </w:p>
                              <w:p>
                                <w:pPr>
                                  <w:rPr>
                                    <w:rStyle w:val="35"/>
                                    <w:rFonts w:ascii="Arial" w:hAnsi="Arial" w:cs="Arial"/>
                                    <w:color w:val="FFFFFF" w:themeColor="background1"/>
                                    <w:sz w:val="14"/>
                                    <w:szCs w:val="14"/>
                                    <w14:textFill>
                                      <w14:solidFill>
                                        <w14:schemeClr w14:val="bg1"/>
                                      </w14:solidFill>
                                    </w14:textFill>
                                  </w:rPr>
                                </w:pPr>
                                <w:r>
                                  <w:rPr>
                                    <w:rStyle w:val="35"/>
                                    <w:rFonts w:ascii="Arial" w:hAnsi="Arial" w:cs="Arial"/>
                                    <w:color w:val="FFFFFF" w:themeColor="background1"/>
                                    <w:sz w:val="14"/>
                                    <w:szCs w:val="14"/>
                                    <w14:textFill>
                                      <w14:solidFill>
                                        <w14:schemeClr w14:val="bg1"/>
                                      </w14:solidFill>
                                    </w14:textFill>
                                  </w:rPr>
                                  <w:t>The information contained in this document is confidential and may not be copied, distributed or disclosed to any third parties without our consent. Howden has taken care in the production of this document and the information contained in it has been obtained from sources that Howden believes to be reliable. Howden does not make any representation as to the accuracy of the information received from third parties and is unable to accept liability for any loss incurred by anyone who relies on it.</w:t>
                                </w:r>
                              </w:p>
                              <w:p>
                                <w:r>
                                  <w:rPr>
                                    <w:rStyle w:val="35"/>
                                    <w:rFonts w:ascii="Arial" w:hAnsi="Arial" w:cs="Arial"/>
                                    <w:color w:val="FFFFFF" w:themeColor="background1"/>
                                    <w:sz w:val="14"/>
                                    <w:szCs w:val="14"/>
                                    <w14:textFill>
                                      <w14:solidFill>
                                        <w14:schemeClr w14:val="bg1"/>
                                      </w14:solidFill>
                                    </w14:textFill>
                                  </w:rPr>
                                  <w:t>Copyright © 2022 Howden People Risk Limited trading as Howden Care</w:t>
                                </w:r>
                                <w:r>
                                  <w:rPr>
                                    <w:rStyle w:val="35"/>
                                    <w:rFonts w:ascii="Arial" w:hAnsi="Arial" w:cs="Arial"/>
                                    <w:color w:val="FFFFFF" w:themeColor="background1"/>
                                    <w:sz w:val="14"/>
                                    <w:szCs w:val="14"/>
                                    <w14:textFill>
                                      <w14:solidFill>
                                        <w14:schemeClr w14:val="bg1"/>
                                      </w14:solidFill>
                                    </w14:textFill>
                                  </w:rPr>
                                  <w:br w:type="textWrapping"/>
                                </w:r>
                                <w:r>
                                  <w:rPr>
                                    <w:rStyle w:val="35"/>
                                    <w:rFonts w:ascii="Arial" w:hAnsi="Arial" w:cs="Arial"/>
                                    <w:color w:val="FFFFFF" w:themeColor="background1"/>
                                    <w:sz w:val="14"/>
                                    <w:szCs w:val="14"/>
                                    <w14:textFill>
                                      <w14:solidFill>
                                        <w14:schemeClr w14:val="bg1"/>
                                      </w14:solidFill>
                                    </w14:textFill>
                                  </w:rPr>
                                  <w:t>Company Number 8169580, NZBN 9429049192094.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7.8pt;height:184.5pt;width:390.75pt;mso-position-horizontal-relative:margin;z-index:251659264;mso-width-relative:page;mso-height-relative:page;" filled="f" stroked="f" coordsize="21600,21600" o:gfxdata="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cZ4w3AAAAAoBAAAPAAAAAAAAAAEAIAAAACIAAABkcnMvZG93bnJldi54bWxQ&#10;SwECFAAUAAAACACHTuJABGgOVSwCAABmBAAADgAAAAAAAAABACAAAAArAQAAZHJzL2Uyb0RvYy54&#10;bWxQSwUGAAAAAAYABgBZAQAAyQUAAAAA&#10;">
                    <v:fill on="f" focussize="0,0"/>
                    <v:stroke on="f" weight="0.5pt"/>
                    <v:imagedata o:title=""/>
                    <o:lock v:ext="edit" aspectratio="f"/>
                    <v:textbox>
                      <w:txbxContent>
                        <w:p>
                          <w:pPr>
                            <w:pStyle w:val="356"/>
                            <w:tabs>
                              <w:tab w:val="left" w:pos="230"/>
                              <w:tab w:val="left" w:pos="2112"/>
                              <w:tab w:val="left" w:pos="2363"/>
                              <w:tab w:val="left" w:pos="4287"/>
                              <w:tab w:val="left" w:pos="4580"/>
                            </w:tabs>
                            <w:suppressAutoHyphens/>
                            <w:spacing w:line="276" w:lineRule="auto"/>
                            <w:rPr>
                              <w:rFonts w:asciiTheme="minorHAnsi" w:hAnsiTheme="minorHAnsi" w:cstheme="minorHAnsi"/>
                              <w:color w:val="FFFFFF" w:themeColor="background1"/>
                              <w:spacing w:val="-2"/>
                              <w:sz w:val="18"/>
                              <w:szCs w:val="18"/>
                              <w14:textFill>
                                <w14:solidFill>
                                  <w14:schemeClr w14:val="bg1"/>
                                </w14:solidFill>
                              </w14:textFill>
                            </w:rPr>
                          </w:pPr>
                        </w:p>
                        <w:p>
                          <w:pPr>
                            <w:pStyle w:val="356"/>
                            <w:tabs>
                              <w:tab w:val="left" w:pos="230"/>
                              <w:tab w:val="left" w:pos="2112"/>
                              <w:tab w:val="left" w:pos="2363"/>
                              <w:tab w:val="left" w:pos="4287"/>
                              <w:tab w:val="left" w:pos="4580"/>
                            </w:tabs>
                            <w:suppressAutoHyphens/>
                            <w:spacing w:line="276" w:lineRule="auto"/>
                            <w:rPr>
                              <w:rFonts w:asciiTheme="minorHAnsi" w:hAnsiTheme="minorHAnsi" w:cstheme="minorHAnsi"/>
                              <w:color w:val="FFFFFF" w:themeColor="background1"/>
                              <w:spacing w:val="-2"/>
                              <w:sz w:val="18"/>
                              <w:szCs w:val="18"/>
                              <w14:textFill>
                                <w14:solidFill>
                                  <w14:schemeClr w14:val="bg1"/>
                                </w14:solidFill>
                              </w14:textFill>
                            </w:rPr>
                          </w:pPr>
                        </w:p>
                        <w:p>
                          <w:pPr>
                            <w:pStyle w:val="356"/>
                            <w:tabs>
                              <w:tab w:val="left" w:pos="230"/>
                              <w:tab w:val="left" w:pos="2304"/>
                              <w:tab w:val="left" w:pos="2572"/>
                              <w:tab w:val="left" w:pos="4409"/>
                              <w:tab w:val="left" w:pos="4706"/>
                            </w:tabs>
                            <w:suppressAutoHyphens/>
                            <w:spacing w:after="60" w:line="276" w:lineRule="auto"/>
                            <w:rPr>
                              <w:rFonts w:asciiTheme="minorHAnsi" w:hAnsiTheme="minorHAnsi" w:cstheme="minorHAnsi"/>
                              <w:b/>
                              <w:bCs/>
                              <w:color w:val="FFFFFF" w:themeColor="background1"/>
                              <w:spacing w:val="-2"/>
                              <w:sz w:val="18"/>
                              <w:szCs w:val="18"/>
                              <w14:textFill>
                                <w14:solidFill>
                                  <w14:schemeClr w14:val="bg1"/>
                                </w14:solidFill>
                              </w14:textFill>
                            </w:rPr>
                          </w:pPr>
                          <w:r>
                            <w:rPr>
                              <w:rFonts w:asciiTheme="minorHAnsi" w:hAnsiTheme="minorHAnsi" w:cstheme="minorHAnsi"/>
                              <w:b/>
                              <w:bCs/>
                              <w:color w:val="FFFFFF" w:themeColor="background1"/>
                              <w:spacing w:val="-2"/>
                              <w:sz w:val="18"/>
                              <w:szCs w:val="18"/>
                              <w14:textFill>
                                <w14:solidFill>
                                  <w14:schemeClr w14:val="bg1"/>
                                </w14:solidFill>
                              </w14:textFill>
                            </w:rPr>
                            <w:t>www.howdencare.co.nz</w:t>
                          </w:r>
                        </w:p>
                        <w:p>
                          <w:pPr>
                            <w:rPr>
                              <w:rStyle w:val="35"/>
                              <w:rFonts w:ascii="Arial" w:hAnsi="Arial" w:cs="Arial"/>
                              <w:color w:val="FFFFFF" w:themeColor="background1"/>
                              <w:sz w:val="14"/>
                              <w:szCs w:val="14"/>
                              <w14:textFill>
                                <w14:solidFill>
                                  <w14:schemeClr w14:val="bg1"/>
                                </w14:solidFill>
                              </w14:textFill>
                            </w:rPr>
                          </w:pPr>
                          <w:r>
                            <w:rPr>
                              <w:rStyle w:val="35"/>
                              <w:rFonts w:ascii="Arial" w:hAnsi="Arial" w:cs="Arial"/>
                              <w:color w:val="FFFFFF" w:themeColor="background1"/>
                              <w:sz w:val="14"/>
                              <w:szCs w:val="14"/>
                              <w14:textFill>
                                <w14:solidFill>
                                  <w14:schemeClr w14:val="bg1"/>
                                </w14:solidFill>
                              </w14:textFill>
                            </w:rPr>
                            <w:t>The information contained in this document is confidential and may not be copied, distributed or disclosed to any third parties without our consent. Howden has taken care in the production of this document and the information contained in it has been obtained from sources that Howden believes to be reliable. Howden does not make any representation as to the accuracy of the information received from third parties and is unable to accept liability for any loss incurred by anyone who relies on it.</w:t>
                          </w:r>
                        </w:p>
                        <w:p>
                          <w:r>
                            <w:rPr>
                              <w:rStyle w:val="35"/>
                              <w:rFonts w:ascii="Arial" w:hAnsi="Arial" w:cs="Arial"/>
                              <w:color w:val="FFFFFF" w:themeColor="background1"/>
                              <w:sz w:val="14"/>
                              <w:szCs w:val="14"/>
                              <w14:textFill>
                                <w14:solidFill>
                                  <w14:schemeClr w14:val="bg1"/>
                                </w14:solidFill>
                              </w14:textFill>
                            </w:rPr>
                            <w:t>Copyright © 2022 Howden People Risk Limited trading as Howden Care</w:t>
                          </w:r>
                          <w:r>
                            <w:rPr>
                              <w:rStyle w:val="35"/>
                              <w:rFonts w:ascii="Arial" w:hAnsi="Arial" w:cs="Arial"/>
                              <w:color w:val="FFFFFF" w:themeColor="background1"/>
                              <w:sz w:val="14"/>
                              <w:szCs w:val="14"/>
                              <w14:textFill>
                                <w14:solidFill>
                                  <w14:schemeClr w14:val="bg1"/>
                                </w14:solidFill>
                              </w14:textFill>
                            </w:rPr>
                            <w:br w:type="textWrapping"/>
                          </w:r>
                          <w:r>
                            <w:rPr>
                              <w:rStyle w:val="35"/>
                              <w:rFonts w:ascii="Arial" w:hAnsi="Arial" w:cs="Arial"/>
                              <w:color w:val="FFFFFF" w:themeColor="background1"/>
                              <w:sz w:val="14"/>
                              <w:szCs w:val="14"/>
                              <w14:textFill>
                                <w14:solidFill>
                                  <w14:schemeClr w14:val="bg1"/>
                                </w14:solidFill>
                              </w14:textFill>
                            </w:rPr>
                            <w:t>Company Number 8169580, NZBN 9429049192094.</w:t>
                          </w:r>
                        </w:p>
                      </w:txbxContent>
                    </v:textbox>
                  </v:shape>
                </w:pict>
              </mc:Fallback>
            </mc:AlternateContent>
          </w:r>
        </w:p>
      </w:tc>
    </w:tr>
  </w:tbl>
  <w:p>
    <w:pPr>
      <w:pStyle w:val="25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spacing w:line="240" w:lineRule="auto"/>
    </w:pPr>
    <w: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-947420</wp:posOffset>
              </wp:positionV>
              <wp:extent cx="7985760" cy="10934700"/>
              <wp:effectExtent l="0" t="0" r="0" b="0"/>
              <wp:wrapNone/>
              <wp:docPr id="27" name="Rectangle 27"/>
              <wp:cNvGraphicFramePr/>
              <a:graphic xmlns:a="http://schemas.openxmlformats.org/drawingml/2006/main">
                <a:graphicData uri="http://schemas.microsoft.com/office/word/2010/wordprocessingShape">
                  <wps:wsp>
                    <wps:cNvSpPr/>
                    <wps:spPr>
                      <a:xfrm>
                        <a:off x="0" y="0"/>
                        <a:ext cx="7985760" cy="10934700"/>
                      </a:xfrm>
                      <a:prstGeom prst="rect">
                        <a:avLst/>
                      </a:prstGeom>
                      <a:solidFill>
                        <a:srgbClr val="152C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o:spt="1" style="position:absolute;left:0pt;margin-top:-74.6pt;height:861pt;width:628.8pt;mso-position-horizontal:left;mso-position-horizontal-relative:page;z-index:-251657216;v-text-anchor:middle;mso-width-relative:page;mso-height-relative:page;" fillcolor="#152C46" filled="t" stroked="t" coordsize="21600,21600" o:gfxdata="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7ZMkDZAAAACwEAAA8AAAAAAAAAAQAgAAAAIgAAAGRycy9kb3ducmV2&#10;LnhtbFBLAQIUABQAAAAIAIdO4kAvzZjbbQIAAAUFAAAOAAAAAAAAAAEAIAAAACgBAABkcnMvZTJv&#10;RG9jLnhtbFBLBQYAAAAABgAGAFkBAAAHBgAAAAA=&#10;">
              <v:fill on="t" focussize="0,0"/>
              <v:stroke weight="2pt" color="#00A473 [3204]" joinstyle="round"/>
              <v:imagedata o:title=""/>
              <o:lock v:ext="edit" aspectratio="f"/>
            </v:rect>
          </w:pict>
        </mc:Fallback>
      </mc:AlternateContent>
    </w:r>
    <w:r>
      <w:rPr>
        <w:lang w:eastAsia="en-GB"/>
      </w:rPr>
      <w:drawing>
        <wp:anchor distT="0" distB="0" distL="114300" distR="114300" simplePos="0" relativeHeight="251659264" behindDoc="0" locked="0" layoutInCell="1" allowOverlap="1">
          <wp:simplePos x="0" y="0"/>
          <wp:positionH relativeFrom="margin">
            <wp:posOffset>4761230</wp:posOffset>
          </wp:positionH>
          <wp:positionV relativeFrom="paragraph">
            <wp:posOffset>-355600</wp:posOffset>
          </wp:positionV>
          <wp:extent cx="1619885" cy="2921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0000" cy="292331"/>
                  </a:xfrm>
                  <a:prstGeom prst="rect">
                    <a:avLst/>
                  </a:prstGeom>
                </pic:spPr>
              </pic:pic>
            </a:graphicData>
          </a:graphic>
        </wp:anchor>
      </w:drawing>
    </w:r>
    <w: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ragraph">
                <wp:posOffset>-807085</wp:posOffset>
              </wp:positionV>
              <wp:extent cx="1573530" cy="5339715"/>
              <wp:effectExtent l="0" t="0" r="0" b="0"/>
              <wp:wrapNone/>
              <wp:docPr id="23" name="Group 23"/>
              <wp:cNvGraphicFramePr/>
              <a:graphic xmlns:a="http://schemas.openxmlformats.org/drawingml/2006/main">
                <a:graphicData uri="http://schemas.microsoft.com/office/word/2010/wordprocessingGroup">
                  <wpg:wgp>
                    <wpg:cNvGrpSpPr/>
                    <wpg:grpSpPr>
                      <a:xfrm>
                        <a:off x="0" y="0"/>
                        <a:ext cx="1573530" cy="5339715"/>
                        <a:chOff x="0" y="0"/>
                        <a:chExt cx="1134" cy="3848"/>
                      </a:xfrm>
                      <a:solidFill>
                        <a:srgbClr val="00E09E"/>
                      </a:solidFill>
                    </wpg:grpSpPr>
                    <wps:wsp>
                      <wps:cNvPr id="24" name="Freeform 12"/>
                      <wps:cNvSpPr/>
                      <wps:spPr bwMode="auto">
                        <a:xfrm>
                          <a:off x="0" y="2831"/>
                          <a:ext cx="836" cy="1017"/>
                        </a:xfrm>
                        <a:custGeom>
                          <a:avLst/>
                          <a:gdLst>
                            <a:gd name="T0" fmla="*/ 351 w 351"/>
                            <a:gd name="T1" fmla="*/ 428 h 428"/>
                            <a:gd name="T2" fmla="*/ 0 w 351"/>
                            <a:gd name="T3" fmla="*/ 428 h 428"/>
                            <a:gd name="T4" fmla="*/ 0 w 351"/>
                            <a:gd name="T5" fmla="*/ 0 h 428"/>
                            <a:gd name="T6" fmla="*/ 351 w 351"/>
                            <a:gd name="T7" fmla="*/ 428 h 428"/>
                          </a:gdLst>
                          <a:ahLst/>
                          <a:cxnLst>
                            <a:cxn ang="0">
                              <a:pos x="T0" y="T1"/>
                            </a:cxn>
                            <a:cxn ang="0">
                              <a:pos x="T2" y="T3"/>
                            </a:cxn>
                            <a:cxn ang="0">
                              <a:pos x="T4" y="T5"/>
                            </a:cxn>
                            <a:cxn ang="0">
                              <a:pos x="T6" y="T7"/>
                            </a:cxn>
                          </a:cxnLst>
                          <a:rect l="0" t="0" r="r" b="b"/>
                          <a:pathLst>
                            <a:path w="351" h="428">
                              <a:moveTo>
                                <a:pt x="351" y="428"/>
                              </a:moveTo>
                              <a:cubicBezTo>
                                <a:pt x="0" y="428"/>
                                <a:pt x="0" y="428"/>
                                <a:pt x="0" y="428"/>
                              </a:cubicBezTo>
                              <a:cubicBezTo>
                                <a:pt x="0" y="0"/>
                                <a:pt x="0" y="0"/>
                                <a:pt x="0" y="0"/>
                              </a:cubicBezTo>
                              <a:cubicBezTo>
                                <a:pt x="130" y="114"/>
                                <a:pt x="246" y="242"/>
                                <a:pt x="351" y="428"/>
                              </a:cubicBezTo>
                              <a:close/>
                            </a:path>
                          </a:pathLst>
                        </a:custGeom>
                        <a:grpFill/>
                        <a:ln>
                          <a:noFill/>
                        </a:ln>
                      </wps:spPr>
                      <wps:bodyPr vert="horz" wrap="square" lIns="91440" tIns="45720" rIns="91440" bIns="45720" numCol="1" anchor="t" anchorCtr="0" compatLnSpc="1"/>
                    </wps:wsp>
                    <wps:wsp>
                      <wps:cNvPr id="25" name="Freeform 13"/>
                      <wps:cNvSpPr/>
                      <wps:spPr bwMode="auto">
                        <a:xfrm>
                          <a:off x="0" y="919"/>
                          <a:ext cx="1134" cy="2050"/>
                        </a:xfrm>
                        <a:custGeom>
                          <a:avLst/>
                          <a:gdLst>
                            <a:gd name="T0" fmla="*/ 476 w 476"/>
                            <a:gd name="T1" fmla="*/ 386 h 863"/>
                            <a:gd name="T2" fmla="*/ 476 w 476"/>
                            <a:gd name="T3" fmla="*/ 863 h 863"/>
                            <a:gd name="T4" fmla="*/ 0 w 476"/>
                            <a:gd name="T5" fmla="*/ 401 h 863"/>
                            <a:gd name="T6" fmla="*/ 0 w 476"/>
                            <a:gd name="T7" fmla="*/ 0 h 863"/>
                            <a:gd name="T8" fmla="*/ 179 w 476"/>
                            <a:gd name="T9" fmla="*/ 143 h 863"/>
                            <a:gd name="T10" fmla="*/ 476 w 476"/>
                            <a:gd name="T11" fmla="*/ 386 h 863"/>
                          </a:gdLst>
                          <a:ahLst/>
                          <a:cxnLst>
                            <a:cxn ang="0">
                              <a:pos x="T0" y="T1"/>
                            </a:cxn>
                            <a:cxn ang="0">
                              <a:pos x="T2" y="T3"/>
                            </a:cxn>
                            <a:cxn ang="0">
                              <a:pos x="T4" y="T5"/>
                            </a:cxn>
                            <a:cxn ang="0">
                              <a:pos x="T6" y="T7"/>
                            </a:cxn>
                            <a:cxn ang="0">
                              <a:pos x="T8" y="T9"/>
                            </a:cxn>
                            <a:cxn ang="0">
                              <a:pos x="T10" y="T11"/>
                            </a:cxn>
                          </a:cxnLst>
                          <a:rect l="0" t="0" r="r" b="b"/>
                          <a:pathLst>
                            <a:path w="476" h="863">
                              <a:moveTo>
                                <a:pt x="476" y="386"/>
                              </a:moveTo>
                              <a:cubicBezTo>
                                <a:pt x="476" y="863"/>
                                <a:pt x="476" y="863"/>
                                <a:pt x="476" y="863"/>
                              </a:cubicBezTo>
                              <a:cubicBezTo>
                                <a:pt x="330" y="666"/>
                                <a:pt x="171" y="533"/>
                                <a:pt x="0" y="401"/>
                              </a:cubicBezTo>
                              <a:cubicBezTo>
                                <a:pt x="0" y="0"/>
                                <a:pt x="0" y="0"/>
                                <a:pt x="0" y="0"/>
                              </a:cubicBezTo>
                              <a:cubicBezTo>
                                <a:pt x="58" y="50"/>
                                <a:pt x="118" y="96"/>
                                <a:pt x="179" y="143"/>
                              </a:cubicBezTo>
                              <a:cubicBezTo>
                                <a:pt x="278" y="219"/>
                                <a:pt x="378" y="297"/>
                                <a:pt x="476" y="386"/>
                              </a:cubicBezTo>
                              <a:close/>
                            </a:path>
                          </a:pathLst>
                        </a:custGeom>
                        <a:grpFill/>
                        <a:ln>
                          <a:noFill/>
                        </a:ln>
                      </wps:spPr>
                      <wps:bodyPr vert="horz" wrap="square" lIns="91440" tIns="45720" rIns="91440" bIns="45720" numCol="1" anchor="t" anchorCtr="0" compatLnSpc="1"/>
                    </wps:wsp>
                    <wps:wsp>
                      <wps:cNvPr id="26" name="Freeform 14"/>
                      <wps:cNvSpPr/>
                      <wps:spPr bwMode="auto">
                        <a:xfrm>
                          <a:off x="150" y="0"/>
                          <a:ext cx="984" cy="800"/>
                        </a:xfrm>
                        <a:custGeom>
                          <a:avLst/>
                          <a:gdLst>
                            <a:gd name="T0" fmla="*/ 413 w 413"/>
                            <a:gd name="T1" fmla="*/ 337 h 337"/>
                            <a:gd name="T2" fmla="*/ 342 w 413"/>
                            <a:gd name="T3" fmla="*/ 281 h 337"/>
                            <a:gd name="T4" fmla="*/ 0 w 413"/>
                            <a:gd name="T5" fmla="*/ 0 h 337"/>
                            <a:gd name="T6" fmla="*/ 413 w 413"/>
                            <a:gd name="T7" fmla="*/ 0 h 337"/>
                            <a:gd name="T8" fmla="*/ 413 w 413"/>
                            <a:gd name="T9" fmla="*/ 337 h 337"/>
                          </a:gdLst>
                          <a:ahLst/>
                          <a:cxnLst>
                            <a:cxn ang="0">
                              <a:pos x="T0" y="T1"/>
                            </a:cxn>
                            <a:cxn ang="0">
                              <a:pos x="T2" y="T3"/>
                            </a:cxn>
                            <a:cxn ang="0">
                              <a:pos x="T4" y="T5"/>
                            </a:cxn>
                            <a:cxn ang="0">
                              <a:pos x="T6" y="T7"/>
                            </a:cxn>
                            <a:cxn ang="0">
                              <a:pos x="T8" y="T9"/>
                            </a:cxn>
                          </a:cxnLst>
                          <a:rect l="0" t="0" r="r" b="b"/>
                          <a:pathLst>
                            <a:path w="413" h="337">
                              <a:moveTo>
                                <a:pt x="413" y="337"/>
                              </a:moveTo>
                              <a:cubicBezTo>
                                <a:pt x="390" y="318"/>
                                <a:pt x="366" y="300"/>
                                <a:pt x="342" y="281"/>
                              </a:cubicBezTo>
                              <a:cubicBezTo>
                                <a:pt x="220" y="188"/>
                                <a:pt x="106" y="103"/>
                                <a:pt x="0" y="0"/>
                              </a:cubicBezTo>
                              <a:cubicBezTo>
                                <a:pt x="413" y="0"/>
                                <a:pt x="413" y="0"/>
                                <a:pt x="413" y="0"/>
                              </a:cubicBezTo>
                              <a:lnTo>
                                <a:pt x="413" y="337"/>
                              </a:lnTo>
                              <a:close/>
                            </a:path>
                          </a:pathLst>
                        </a:custGeom>
                        <a:grp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0pt;margin-top:-63.55pt;height:420.45pt;width:123.9pt;mso-position-horizontal-relative:page;z-index:251659264;mso-width-relative:page;mso-height-relative:page;" coordsize="1134,3848" o:gfxdata="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Jq0gIzZAAAA&#10;CQEAAA8AAAAAAAAAAQAgAAAAIgAAAGRycy9kb3ducmV2LnhtbFBLAQIUABQAAAAIAIdO4kDZXwYE&#10;OgUAABEWAAAOAAAAAAAAAAEAIAAAACgBAABkcnMvZTJvRG9jLnhtbFBLBQYAAAAABgAGAFkBAADU&#10;CAAAAAA=&#10;">
              <o:lock v:ext="edit" aspectratio="f"/>
              <v:shape id="Freeform 12" o:spid="_x0000_s1026" o:spt="100" style="position:absolute;left:0;top:2831;height:1017;width:836;" filled="t" stroked="f" coordsize="351,428" o:gfxdata="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vmr4A&#10;AADbAAAADwAAAAAAAAABACAAAAAiAAAAZHJzL2Rvd25yZXYueG1sUEsBAhQAFAAAAAgAh07iQDMv&#10;BZ47AAAAOQAAABAAAAAAAAAAAQAgAAAADQEAAGRycy9zaGFwZXhtbC54bWxQSwUGAAAAAAYABgBb&#10;AQAAtwMAAAAA&#10;" path="m351,428c0,428,0,428,0,428c0,0,0,0,0,0c130,114,246,242,351,428xe">
                <v:path o:connectlocs="836,1017;0,1017;0,0;836,1017" o:connectangles="0,0,0,0"/>
                <v:fill on="t" focussize="0,0"/>
                <v:stroke on="f"/>
                <v:imagedata o:title=""/>
                <o:lock v:ext="edit" aspectratio="f"/>
              </v:shape>
              <v:shape id="Freeform 13" o:spid="_x0000_s1026" o:spt="100" style="position:absolute;left:0;top:919;height:2050;width:1134;" filled="t" stroked="f" coordsize="476,863" o:gfxdata="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bgz8twAAANsAAAAP&#10;AAAAAAAAAAEAIAAAACIAAABkcnMvZG93bnJldi54bWxQSwECFAAUAAAACACHTuJAMy8FnjsAAAA5&#10;AAAAEAAAAAAAAAABACAAAAAGAQAAZHJzL3NoYXBleG1sLnhtbFBLBQYAAAAABgAGAFsBAACwAwAA&#10;AAA=&#10;" path="m476,386c476,863,476,863,476,863c330,666,171,533,0,401c0,0,0,0,0,0c58,50,118,96,179,143c278,219,378,297,476,386xe">
                <v:path o:connectlocs="1134,916;1134,2050;0,952;0,0;426,339;1134,916" o:connectangles="0,0,0,0,0,0"/>
                <v:fill on="t" focussize="0,0"/>
                <v:stroke on="f"/>
                <v:imagedata o:title=""/>
                <o:lock v:ext="edit" aspectratio="f"/>
              </v:shape>
              <v:shape id="Freeform 14" o:spid="_x0000_s1026" o:spt="100" style="position:absolute;left:150;top:0;height:800;width:984;" filled="t" stroked="f" coordsize="413,337" o:gfxdata="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ptuW8AAAA&#10;2wAAAA8AAAAAAAAAAQAgAAAAIgAAAGRycy9kb3ducmV2LnhtbFBLAQIUABQAAAAIAIdO4kAzLwWe&#10;OwAAADkAAAAQAAAAAAAAAAEAIAAAAAsBAABkcnMvc2hhcGV4bWwueG1sUEsFBgAAAAAGAAYAWwEA&#10;ALUDAAAAAA==&#10;" path="m413,337c390,318,366,300,342,281c220,188,106,103,0,0c413,0,413,0,413,0l413,337xe">
                <v:path o:connectlocs="984,800;814,667;0,0;984,0;984,800" o:connectangles="0,0,0,0,0"/>
                <v:fill on="t" focussize="0,0"/>
                <v:stroke on="f"/>
                <v:imagedata o:title=""/>
                <o:lock v:ext="edit" aspectratio="f"/>
              </v:shape>
            </v:group>
          </w:pict>
        </mc:Fallback>
      </mc:AlternateContent>
    </w:r>
  </w:p>
  <w:tbl>
    <w:tblPr>
      <w:tblStyle w:val="115"/>
      <w:tblW w:w="96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2" w:hRule="atLeast"/>
      </w:trPr>
      <w:tc>
        <w:tcPr>
          <w:tcW w:w="9637" w:type="dxa"/>
        </w:tcPr>
        <w:p>
          <w:pPr>
            <w:pStyle w:val="255"/>
            <w:spacing w:line="240" w:lineRule="auto"/>
            <w:ind w:left="-149" w:right="-109"/>
            <w:jc w:val="right"/>
          </w:pPr>
        </w:p>
      </w:tc>
    </w:tr>
  </w:tbl>
  <w:p>
    <w:pPr>
      <w:pStyle w:val="255"/>
      <w:spacing w:line="240" w:lineRule="auto"/>
    </w:pPr>
    <w:r>
      <w:rPr>
        <w:lang w:eastAsia="en-GB"/>
      </w:rPr>
      <w:drawing>
        <wp:anchor distT="0" distB="0" distL="114300" distR="114300" simplePos="0" relativeHeight="251659264" behindDoc="1" locked="0" layoutInCell="1" allowOverlap="1">
          <wp:simplePos x="0" y="0"/>
          <wp:positionH relativeFrom="page">
            <wp:align>left</wp:align>
          </wp:positionH>
          <wp:positionV relativeFrom="paragraph">
            <wp:posOffset>3980180</wp:posOffset>
          </wp:positionV>
          <wp:extent cx="7556500" cy="5339715"/>
          <wp:effectExtent l="0" t="0" r="635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pic:cNvPicPr>
                </pic:nvPicPr>
                <pic:blipFill>
                  <a:blip r:embed="rId2" cstate="print">
                    <a:extLst>
                      <a:ext uri="{28A0092B-C50C-407E-A947-70E740481C1C}">
                        <a14:useLocalDpi xmlns:a14="http://schemas.microsoft.com/office/drawing/2010/main" val="0"/>
                      </a:ext>
                    </a:extLst>
                  </a:blip>
                  <a:srcRect t="1" r="21605" b="1535"/>
                  <a:stretch>
                    <a:fillRect/>
                  </a:stretch>
                </pic:blipFill>
                <pic:spPr>
                  <a:xfrm>
                    <a:off x="0" y="0"/>
                    <a:ext cx="7556500" cy="5339715"/>
                  </a:xfrm>
                  <a:prstGeom prst="rect">
                    <a:avLst/>
                  </a:prstGeom>
                  <a:ln>
                    <a:noFill/>
                  </a:ln>
                </pic:spPr>
              </pic:pic>
            </a:graphicData>
          </a:graphic>
        </wp:anchor>
      </w:drawing>
    </w:r>
    <w:r>
      <w:rPr>
        <w:lang w:eastAsia="en-GB"/>
      </w:rPr>
      <w:drawing>
        <wp:anchor distT="0" distB="0" distL="114300" distR="114300" simplePos="0" relativeHeight="251659264" behindDoc="0" locked="0" layoutInCell="1" allowOverlap="1">
          <wp:simplePos x="0" y="0"/>
          <wp:positionH relativeFrom="column">
            <wp:posOffset>5229225</wp:posOffset>
          </wp:positionH>
          <wp:positionV relativeFrom="paragraph">
            <wp:posOffset>4079875</wp:posOffset>
          </wp:positionV>
          <wp:extent cx="1397635" cy="5180330"/>
          <wp:effectExtent l="0" t="0" r="0" b="127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1397635" cy="518033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5"/>
      <w:tblW w:w="96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4"/>
      <w:gridCol w:w="6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2694" w:type="dxa"/>
        </w:tcPr>
        <w:p>
          <w:pPr>
            <w:spacing w:after="0" w:line="240" w:lineRule="auto"/>
            <w:ind w:left="-108"/>
            <w:rPr>
              <w:caps/>
              <w:color w:val="D61634" w:themeColor="accent5" w:themeShade="BF"/>
              <w:sz w:val="18"/>
              <w:szCs w:val="18"/>
            </w:rPr>
          </w:pPr>
          <w:r>
            <w:rPr>
              <w:color w:val="D61634" w:themeColor="accent5" w:themeShade="BF"/>
              <w:sz w:val="18"/>
              <w:szCs w:val="18"/>
            </w:rPr>
            <w:t>[Client Name]</w:t>
          </w:r>
        </w:p>
      </w:tc>
      <w:tc>
        <w:tcPr>
          <w:tcW w:w="6951" w:type="dxa"/>
        </w:tcPr>
        <w:p>
          <w:pPr>
            <w:spacing w:after="0" w:line="240" w:lineRule="auto"/>
            <w:jc w:val="right"/>
            <w:rPr>
              <w:color w:val="00857E"/>
              <w:sz w:val="18"/>
              <w:szCs w:val="18"/>
            </w:rPr>
          </w:pPr>
        </w:p>
      </w:tc>
    </w:tr>
  </w:tbl>
  <w:p>
    <w:pPr>
      <w:pStyle w:val="42"/>
    </w:pPr>
    <w: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-838200</wp:posOffset>
              </wp:positionV>
              <wp:extent cx="7919720" cy="10799445"/>
              <wp:effectExtent l="0" t="0" r="0" b="0"/>
              <wp:wrapNone/>
              <wp:docPr id="28" name="Rectangle 28"/>
              <wp:cNvGraphicFramePr/>
              <a:graphic xmlns:a="http://schemas.openxmlformats.org/drawingml/2006/main">
                <a:graphicData uri="http://schemas.microsoft.com/office/word/2010/wordprocessingShape">
                  <wps:wsp>
                    <wps:cNvSpPr/>
                    <wps:spPr>
                      <a:xfrm>
                        <a:off x="0" y="0"/>
                        <a:ext cx="7919720" cy="107994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top:-66pt;height:850.35pt;width:623.6pt;mso-position-horizontal:left;mso-position-horizontal-relative:page;z-index:251659264;v-text-anchor:middle;mso-width-relative:page;mso-height-relative:page;" fillcolor="#00E09E [3204]" filled="t" stroked="f" coordsize="21600,21600" o:gfxdata="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aUEpm2QAA&#10;AAsBAAAPAAAAAAAAAAEAIAAAACIAAABkcnMvZG93bnJldi54bWxQSwECFAAUAAAACACHTuJApKzI&#10;L1YCAAC7BAAADgAAAAAAAAABACAAAAAoAQAAZHJzL2Uyb0RvYy54bWxQSwUGAAAAAAYABgBZAQAA&#10;8AUAAAAA&#10;">
              <v:fill on="t" focussize="0,0"/>
              <v:stroke on="f" weight="2pt"/>
              <v:imagedata o:title=""/>
              <o:lock v:ext="edit" aspectratio="f"/>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p>
  <w:tbl>
    <w:tblPr>
      <w:tblStyle w:val="115"/>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4"/>
      <w:gridCol w:w="7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2694" w:type="dxa"/>
        </w:tcPr>
        <w:p>
          <w:pPr>
            <w:spacing w:after="0" w:line="240" w:lineRule="auto"/>
            <w:ind w:left="-108"/>
            <w:rPr>
              <w:color w:val="D61634" w:themeColor="accent5" w:themeShade="BF"/>
              <w:sz w:val="18"/>
              <w:szCs w:val="18"/>
            </w:rPr>
          </w:pPr>
        </w:p>
      </w:tc>
      <w:tc>
        <w:tcPr>
          <w:tcW w:w="7796" w:type="dxa"/>
        </w:tcPr>
        <w:p>
          <w:pPr>
            <w:spacing w:after="0" w:line="240" w:lineRule="auto"/>
            <w:jc w:val="right"/>
            <w:rPr>
              <w:color w:val="00857E"/>
              <w:sz w:val="18"/>
              <w:szCs w:val="18"/>
            </w:rPr>
          </w:pPr>
        </w:p>
      </w:tc>
    </w:tr>
  </w:tbl>
  <w:p>
    <w:pPr>
      <w:pStyle w:val="25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p>
  <w:p>
    <w:pPr>
      <w:pStyle w:val="25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p>
  <w:p>
    <w:pPr>
      <w:pStyle w:val="25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r>
      <mc:AlternateContent>
        <mc:Choice Requires="wpg">
          <w:drawing>
            <wp:anchor distT="0" distB="0" distL="114300" distR="114300" simplePos="0" relativeHeight="251659264" behindDoc="0" locked="0" layoutInCell="1" allowOverlap="1">
              <wp:simplePos x="0" y="0"/>
              <wp:positionH relativeFrom="page">
                <wp:posOffset>5979160</wp:posOffset>
              </wp:positionH>
              <wp:positionV relativeFrom="paragraph">
                <wp:posOffset>-610235</wp:posOffset>
              </wp:positionV>
              <wp:extent cx="1573530" cy="5339715"/>
              <wp:effectExtent l="0" t="0" r="0" b="0"/>
              <wp:wrapNone/>
              <wp:docPr id="9" name="Group 9"/>
              <wp:cNvGraphicFramePr/>
              <a:graphic xmlns:a="http://schemas.openxmlformats.org/drawingml/2006/main">
                <a:graphicData uri="http://schemas.microsoft.com/office/word/2010/wordprocessingGroup">
                  <wpg:wgp>
                    <wpg:cNvGrpSpPr/>
                    <wpg:grpSpPr>
                      <a:xfrm flipV="1">
                        <a:off x="0" y="0"/>
                        <a:ext cx="1573530" cy="5339715"/>
                        <a:chOff x="0" y="0"/>
                        <a:chExt cx="1134" cy="3848"/>
                      </a:xfrm>
                      <a:solidFill>
                        <a:srgbClr val="00E09E"/>
                      </a:solidFill>
                    </wpg:grpSpPr>
                    <wps:wsp>
                      <wps:cNvPr id="10" name="Freeform 17"/>
                      <wps:cNvSpPr/>
                      <wps:spPr bwMode="auto">
                        <a:xfrm>
                          <a:off x="0" y="2831"/>
                          <a:ext cx="836" cy="1017"/>
                        </a:xfrm>
                        <a:custGeom>
                          <a:avLst/>
                          <a:gdLst>
                            <a:gd name="T0" fmla="*/ 351 w 351"/>
                            <a:gd name="T1" fmla="*/ 428 h 428"/>
                            <a:gd name="T2" fmla="*/ 0 w 351"/>
                            <a:gd name="T3" fmla="*/ 428 h 428"/>
                            <a:gd name="T4" fmla="*/ 0 w 351"/>
                            <a:gd name="T5" fmla="*/ 0 h 428"/>
                            <a:gd name="T6" fmla="*/ 351 w 351"/>
                            <a:gd name="T7" fmla="*/ 428 h 428"/>
                          </a:gdLst>
                          <a:ahLst/>
                          <a:cxnLst>
                            <a:cxn ang="0">
                              <a:pos x="T0" y="T1"/>
                            </a:cxn>
                            <a:cxn ang="0">
                              <a:pos x="T2" y="T3"/>
                            </a:cxn>
                            <a:cxn ang="0">
                              <a:pos x="T4" y="T5"/>
                            </a:cxn>
                            <a:cxn ang="0">
                              <a:pos x="T6" y="T7"/>
                            </a:cxn>
                          </a:cxnLst>
                          <a:rect l="0" t="0" r="r" b="b"/>
                          <a:pathLst>
                            <a:path w="351" h="428">
                              <a:moveTo>
                                <a:pt x="351" y="428"/>
                              </a:moveTo>
                              <a:cubicBezTo>
                                <a:pt x="0" y="428"/>
                                <a:pt x="0" y="428"/>
                                <a:pt x="0" y="428"/>
                              </a:cubicBezTo>
                              <a:cubicBezTo>
                                <a:pt x="0" y="0"/>
                                <a:pt x="0" y="0"/>
                                <a:pt x="0" y="0"/>
                              </a:cubicBezTo>
                              <a:cubicBezTo>
                                <a:pt x="130" y="114"/>
                                <a:pt x="246" y="242"/>
                                <a:pt x="351" y="428"/>
                              </a:cubicBezTo>
                              <a:close/>
                            </a:path>
                          </a:pathLst>
                        </a:custGeom>
                        <a:grpFill/>
                        <a:ln>
                          <a:noFill/>
                        </a:ln>
                      </wps:spPr>
                      <wps:bodyPr vert="horz" wrap="square" lIns="91440" tIns="45720" rIns="91440" bIns="45720" numCol="1" anchor="t" anchorCtr="0" compatLnSpc="1"/>
                    </wps:wsp>
                    <wps:wsp>
                      <wps:cNvPr id="20" name="Freeform 18"/>
                      <wps:cNvSpPr/>
                      <wps:spPr bwMode="auto">
                        <a:xfrm>
                          <a:off x="0" y="919"/>
                          <a:ext cx="1134" cy="2050"/>
                        </a:xfrm>
                        <a:custGeom>
                          <a:avLst/>
                          <a:gdLst>
                            <a:gd name="T0" fmla="*/ 476 w 476"/>
                            <a:gd name="T1" fmla="*/ 386 h 863"/>
                            <a:gd name="T2" fmla="*/ 476 w 476"/>
                            <a:gd name="T3" fmla="*/ 863 h 863"/>
                            <a:gd name="T4" fmla="*/ 0 w 476"/>
                            <a:gd name="T5" fmla="*/ 401 h 863"/>
                            <a:gd name="T6" fmla="*/ 0 w 476"/>
                            <a:gd name="T7" fmla="*/ 0 h 863"/>
                            <a:gd name="T8" fmla="*/ 179 w 476"/>
                            <a:gd name="T9" fmla="*/ 143 h 863"/>
                            <a:gd name="T10" fmla="*/ 476 w 476"/>
                            <a:gd name="T11" fmla="*/ 386 h 863"/>
                          </a:gdLst>
                          <a:ahLst/>
                          <a:cxnLst>
                            <a:cxn ang="0">
                              <a:pos x="T0" y="T1"/>
                            </a:cxn>
                            <a:cxn ang="0">
                              <a:pos x="T2" y="T3"/>
                            </a:cxn>
                            <a:cxn ang="0">
                              <a:pos x="T4" y="T5"/>
                            </a:cxn>
                            <a:cxn ang="0">
                              <a:pos x="T6" y="T7"/>
                            </a:cxn>
                            <a:cxn ang="0">
                              <a:pos x="T8" y="T9"/>
                            </a:cxn>
                            <a:cxn ang="0">
                              <a:pos x="T10" y="T11"/>
                            </a:cxn>
                          </a:cxnLst>
                          <a:rect l="0" t="0" r="r" b="b"/>
                          <a:pathLst>
                            <a:path w="476" h="863">
                              <a:moveTo>
                                <a:pt x="476" y="386"/>
                              </a:moveTo>
                              <a:cubicBezTo>
                                <a:pt x="476" y="863"/>
                                <a:pt x="476" y="863"/>
                                <a:pt x="476" y="863"/>
                              </a:cubicBezTo>
                              <a:cubicBezTo>
                                <a:pt x="330" y="666"/>
                                <a:pt x="171" y="533"/>
                                <a:pt x="0" y="401"/>
                              </a:cubicBezTo>
                              <a:cubicBezTo>
                                <a:pt x="0" y="0"/>
                                <a:pt x="0" y="0"/>
                                <a:pt x="0" y="0"/>
                              </a:cubicBezTo>
                              <a:cubicBezTo>
                                <a:pt x="58" y="50"/>
                                <a:pt x="118" y="96"/>
                                <a:pt x="179" y="143"/>
                              </a:cubicBezTo>
                              <a:cubicBezTo>
                                <a:pt x="278" y="219"/>
                                <a:pt x="378" y="297"/>
                                <a:pt x="476" y="386"/>
                              </a:cubicBezTo>
                              <a:close/>
                            </a:path>
                          </a:pathLst>
                        </a:custGeom>
                        <a:grpFill/>
                        <a:ln>
                          <a:noFill/>
                        </a:ln>
                      </wps:spPr>
                      <wps:bodyPr vert="horz" wrap="square" lIns="91440" tIns="45720" rIns="91440" bIns="45720" numCol="1" anchor="t" anchorCtr="0" compatLnSpc="1"/>
                    </wps:wsp>
                    <wps:wsp>
                      <wps:cNvPr id="22" name="Freeform 19"/>
                      <wps:cNvSpPr/>
                      <wps:spPr bwMode="auto">
                        <a:xfrm>
                          <a:off x="150" y="0"/>
                          <a:ext cx="984" cy="800"/>
                        </a:xfrm>
                        <a:custGeom>
                          <a:avLst/>
                          <a:gdLst>
                            <a:gd name="T0" fmla="*/ 413 w 413"/>
                            <a:gd name="T1" fmla="*/ 337 h 337"/>
                            <a:gd name="T2" fmla="*/ 342 w 413"/>
                            <a:gd name="T3" fmla="*/ 281 h 337"/>
                            <a:gd name="T4" fmla="*/ 0 w 413"/>
                            <a:gd name="T5" fmla="*/ 0 h 337"/>
                            <a:gd name="T6" fmla="*/ 413 w 413"/>
                            <a:gd name="T7" fmla="*/ 0 h 337"/>
                            <a:gd name="T8" fmla="*/ 413 w 413"/>
                            <a:gd name="T9" fmla="*/ 337 h 337"/>
                          </a:gdLst>
                          <a:ahLst/>
                          <a:cxnLst>
                            <a:cxn ang="0">
                              <a:pos x="T0" y="T1"/>
                            </a:cxn>
                            <a:cxn ang="0">
                              <a:pos x="T2" y="T3"/>
                            </a:cxn>
                            <a:cxn ang="0">
                              <a:pos x="T4" y="T5"/>
                            </a:cxn>
                            <a:cxn ang="0">
                              <a:pos x="T6" y="T7"/>
                            </a:cxn>
                            <a:cxn ang="0">
                              <a:pos x="T8" y="T9"/>
                            </a:cxn>
                          </a:cxnLst>
                          <a:rect l="0" t="0" r="r" b="b"/>
                          <a:pathLst>
                            <a:path w="413" h="337">
                              <a:moveTo>
                                <a:pt x="413" y="337"/>
                              </a:moveTo>
                              <a:cubicBezTo>
                                <a:pt x="390" y="318"/>
                                <a:pt x="366" y="300"/>
                                <a:pt x="342" y="281"/>
                              </a:cubicBezTo>
                              <a:cubicBezTo>
                                <a:pt x="220" y="188"/>
                                <a:pt x="106" y="103"/>
                                <a:pt x="0" y="0"/>
                              </a:cubicBezTo>
                              <a:cubicBezTo>
                                <a:pt x="413" y="0"/>
                                <a:pt x="413" y="0"/>
                                <a:pt x="413" y="0"/>
                              </a:cubicBezTo>
                              <a:lnTo>
                                <a:pt x="413" y="337"/>
                              </a:lnTo>
                              <a:close/>
                            </a:path>
                          </a:pathLst>
                        </a:custGeom>
                        <a:grp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flip:y;margin-left:470.8pt;margin-top:-48.05pt;height:420.45pt;width:123.9pt;mso-position-horizontal-relative:page;z-index:251659264;mso-width-relative:page;mso-height-relative:page;" coordsize="1134,3848" o:gfxdata="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TZ740NoAAAAMAQAADwAAAAAAAAABACAAAAAiAAAAZHJzL2Rvd25yZXYueG1sUEsBAhQA&#10;FAAAAAgAh07iQB1+lOVHBQAAGRYAAA4AAAAAAAAAAQAgAAAAKQEAAGRycy9lMm9Eb2MueG1sUEsF&#10;BgAAAAAGAAYAWQEAAOIIAAAAAA==&#10;">
              <o:lock v:ext="edit" aspectratio="f"/>
              <v:shape id="Freeform 17" o:spid="_x0000_s1026" o:spt="100" style="position:absolute;left:0;top:2831;height:1017;width:836;" filled="t" stroked="f" coordsize="351,428" o:gfxdata="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4jJL4A&#10;AADbAAAADwAAAAAAAAABACAAAAAiAAAAZHJzL2Rvd25yZXYueG1sUEsBAhQAFAAAAAgAh07iQDMv&#10;BZ47AAAAOQAAABAAAAAAAAAAAQAgAAAADQEAAGRycy9zaGFwZXhtbC54bWxQSwUGAAAAAAYABgBb&#10;AQAAtwMAAAAA&#10;" path="m351,428c0,428,0,428,0,428c0,0,0,0,0,0c130,114,246,242,351,428xe">
                <v:path o:connectlocs="836,1017;0,1017;0,0;836,1017" o:connectangles="0,0,0,0"/>
                <v:fill on="t" focussize="0,0"/>
                <v:stroke on="f"/>
                <v:imagedata o:title=""/>
                <o:lock v:ext="edit" aspectratio="f"/>
              </v:shape>
              <v:shape id="Freeform 18" o:spid="_x0000_s1026" o:spt="100" style="position:absolute;left:0;top:919;height:2050;width:1134;" filled="t" stroked="f" coordsize="476,863" o:gfxdata="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mvZLsAAADb&#10;AAAADwAAAAAAAAABACAAAAAiAAAAZHJzL2Rvd25yZXYueG1sUEsBAhQAFAAAAAgAh07iQDMvBZ47&#10;AAAAOQAAABAAAAAAAAAAAQAgAAAACgEAAGRycy9zaGFwZXhtbC54bWxQSwUGAAAAAAYABgBbAQAA&#10;tAMAAAAA&#10;" path="m476,386c476,863,476,863,476,863c330,666,171,533,0,401c0,0,0,0,0,0c58,50,118,96,179,143c278,219,378,297,476,386xe">
                <v:path o:connectlocs="1134,916;1134,2050;0,952;0,0;426,339;1134,916" o:connectangles="0,0,0,0,0,0"/>
                <v:fill on="t" focussize="0,0"/>
                <v:stroke on="f"/>
                <v:imagedata o:title=""/>
                <o:lock v:ext="edit" aspectratio="f"/>
              </v:shape>
              <v:shape id="Freeform 19" o:spid="_x0000_s1026" o:spt="100" style="position:absolute;left:150;top:0;height:800;width:984;" filled="t" stroked="f" coordsize="413,337" o:gfxdata="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SsOa8AAAA&#10;2wAAAA8AAAAAAAAAAQAgAAAAIgAAAGRycy9kb3ducmV2LnhtbFBLAQIUABQAAAAIAIdO4kAzLwWe&#10;OwAAADkAAAAQAAAAAAAAAAEAIAAAAAsBAABkcnMvc2hhcGV4bWwueG1sUEsFBgAAAAAGAAYAWwEA&#10;ALUDAAAAAA==&#10;" path="m413,337c390,318,366,300,342,281c220,188,106,103,0,0c413,0,413,0,413,0l413,337xe">
                <v:path o:connectlocs="984,800;814,667;0,0;984,0;984,800"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-296545</wp:posOffset>
              </wp:positionH>
              <wp:positionV relativeFrom="paragraph">
                <wp:posOffset>-857250</wp:posOffset>
              </wp:positionV>
              <wp:extent cx="8326120" cy="11362055"/>
              <wp:effectExtent l="0" t="0" r="0" b="0"/>
              <wp:wrapNone/>
              <wp:docPr id="7" name="Rectangle 7"/>
              <wp:cNvGraphicFramePr/>
              <a:graphic xmlns:a="http://schemas.openxmlformats.org/drawingml/2006/main">
                <a:graphicData uri="http://schemas.microsoft.com/office/word/2010/wordprocessingShape">
                  <wps:wsp>
                    <wps:cNvSpPr/>
                    <wps:spPr>
                      <a:xfrm>
                        <a:off x="0" y="0"/>
                        <a:ext cx="8326120" cy="11362055"/>
                      </a:xfrm>
                      <a:prstGeom prst="rect">
                        <a:avLst/>
                      </a:prstGeom>
                      <a:solidFill>
                        <a:srgbClr val="152C4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o:spt="1" style="position:absolute;left:0pt;margin-left:-23.35pt;margin-top:-67.5pt;height:894.65pt;width:655.6pt;mso-position-horizontal-relative:page;z-index:-251657216;v-text-anchor:middle;mso-width-relative:page;mso-height-relative:page;" fillcolor="#152C46" filled="t" stroked="f" coordsize="21600,21600" o:gfxdata="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5Emd7eAAAADgEAAA8AAAAAAAAAAQAgAAAAIgAAAGRycy9kb3ducmV2LnhtbFBLAQIUABQA&#10;AAAIAIdO4kDMip4hXAIAAMQEAAAOAAAAAAAAAAEAIAAAAC0BAABkcnMvZTJvRG9jLnhtbFBLBQYA&#10;AAAABgAGAFkBAAD7BQAAAAA=&#10;">
              <v:fill on="t" focussize="0,0"/>
              <v:stroke on="f" weight="2pt"/>
              <v:imagedata o:title=""/>
              <o:lock v:ext="edit" aspectratio="f"/>
              <v:textbox>
                <w:txbxContent>
                  <w:p>
                    <w:pPr>
                      <w:jc w:val="center"/>
                    </w:pPr>
                  </w:p>
                </w:txbxContent>
              </v:textbox>
            </v:rect>
          </w:pict>
        </mc:Fallback>
      </mc:AlternateContent>
    </w:r>
  </w:p>
  <w:p>
    <w:pPr>
      <w:pStyle w:val="25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6"/>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85"/>
      <w:lvlText w:val="%1."/>
      <w:lvlJc w:val="left"/>
      <w:pPr>
        <w:tabs>
          <w:tab w:val="left" w:pos="1209"/>
        </w:tabs>
        <w:ind w:left="1209" w:hanging="360"/>
      </w:pPr>
    </w:lvl>
  </w:abstractNum>
  <w:abstractNum w:abstractNumId="2">
    <w:nsid w:val="FFFFFF80"/>
    <w:multiLevelType w:val="singleLevel"/>
    <w:tmpl w:val="FFFFFF80"/>
    <w:lvl w:ilvl="0" w:tentative="0">
      <w:start w:val="1"/>
      <w:numFmt w:val="bullet"/>
      <w:pStyle w:val="76"/>
      <w:lvlText w:val=""/>
      <w:lvlJc w:val="left"/>
      <w:pPr>
        <w:tabs>
          <w:tab w:val="left" w:pos="1492"/>
        </w:tabs>
        <w:ind w:left="1492" w:hanging="360"/>
      </w:pPr>
      <w:rPr>
        <w:rFonts w:hint="default" w:ascii="Symbol" w:hAnsi="Symbol"/>
      </w:rPr>
    </w:lvl>
  </w:abstractNum>
  <w:abstractNum w:abstractNumId="3">
    <w:nsid w:val="FFFFFF81"/>
    <w:multiLevelType w:val="singleLevel"/>
    <w:tmpl w:val="FFFFFF81"/>
    <w:lvl w:ilvl="0" w:tentative="0">
      <w:start w:val="1"/>
      <w:numFmt w:val="bullet"/>
      <w:pStyle w:val="75"/>
      <w:lvlText w:val=""/>
      <w:lvlJc w:val="left"/>
      <w:pPr>
        <w:tabs>
          <w:tab w:val="left" w:pos="1209"/>
        </w:tabs>
        <w:ind w:left="1209" w:hanging="360"/>
      </w:pPr>
      <w:rPr>
        <w:rFonts w:hint="default" w:ascii="Symbol" w:hAnsi="Symbol"/>
      </w:rPr>
    </w:lvl>
  </w:abstractNum>
  <w:abstractNum w:abstractNumId="4">
    <w:nsid w:val="0C9F4F61"/>
    <w:multiLevelType w:val="multilevel"/>
    <w:tmpl w:val="0C9F4F61"/>
    <w:lvl w:ilvl="0" w:tentative="0">
      <w:start w:val="1"/>
      <w:numFmt w:val="bullet"/>
      <w:pStyle w:val="72"/>
      <w:lvlText w:val=""/>
      <w:lvlJc w:val="left"/>
      <w:pPr>
        <w:ind w:left="340" w:hanging="340"/>
      </w:pPr>
      <w:rPr>
        <w:rFonts w:hint="default" w:ascii="Symbol" w:hAnsi="Symbol"/>
        <w:color w:val="808DDE"/>
      </w:rPr>
    </w:lvl>
    <w:lvl w:ilvl="1" w:tentative="0">
      <w:start w:val="1"/>
      <w:numFmt w:val="bullet"/>
      <w:pStyle w:val="73"/>
      <w:lvlText w:val=""/>
      <w:lvlJc w:val="left"/>
      <w:pPr>
        <w:ind w:left="680" w:hanging="340"/>
      </w:pPr>
      <w:rPr>
        <w:rFonts w:hint="default" w:ascii="Symbol" w:hAnsi="Symbol"/>
        <w:color w:val="808DDE"/>
      </w:rPr>
    </w:lvl>
    <w:lvl w:ilvl="2" w:tentative="0">
      <w:start w:val="1"/>
      <w:numFmt w:val="bullet"/>
      <w:pStyle w:val="74"/>
      <w:lvlText w:val=""/>
      <w:lvlJc w:val="left"/>
      <w:pPr>
        <w:ind w:left="1020" w:hanging="340"/>
      </w:pPr>
      <w:rPr>
        <w:rFonts w:hint="default" w:ascii="Symbol" w:hAnsi="Symbol"/>
        <w:color w:val="808DDE"/>
      </w:rPr>
    </w:lvl>
    <w:lvl w:ilvl="3" w:tentative="0">
      <w:start w:val="1"/>
      <w:numFmt w:val="bullet"/>
      <w:lvlText w:val=""/>
      <w:lvlJc w:val="left"/>
      <w:pPr>
        <w:ind w:left="1360" w:hanging="340"/>
      </w:pPr>
      <w:rPr>
        <w:rFonts w:hint="default" w:ascii="Symbol" w:hAnsi="Symbol"/>
        <w:color w:val="808DDE"/>
      </w:rPr>
    </w:lvl>
    <w:lvl w:ilvl="4" w:tentative="0">
      <w:start w:val="1"/>
      <w:numFmt w:val="bullet"/>
      <w:lvlText w:val=""/>
      <w:lvlJc w:val="left"/>
      <w:pPr>
        <w:ind w:left="1700" w:hanging="340"/>
      </w:pPr>
      <w:rPr>
        <w:rFonts w:hint="default" w:ascii="Symbol" w:hAnsi="Symbol"/>
        <w:color w:val="00857E"/>
      </w:rPr>
    </w:lvl>
    <w:lvl w:ilvl="5" w:tentative="0">
      <w:start w:val="1"/>
      <w:numFmt w:val="bullet"/>
      <w:lvlText w:val=""/>
      <w:lvlJc w:val="left"/>
      <w:pPr>
        <w:ind w:left="2040" w:hanging="340"/>
      </w:pPr>
      <w:rPr>
        <w:rFonts w:hint="default" w:ascii="Symbol" w:hAnsi="Symbol"/>
        <w:color w:val="00857E"/>
      </w:rPr>
    </w:lvl>
    <w:lvl w:ilvl="6" w:tentative="0">
      <w:start w:val="1"/>
      <w:numFmt w:val="bullet"/>
      <w:lvlText w:val=""/>
      <w:lvlJc w:val="left"/>
      <w:pPr>
        <w:ind w:left="2380" w:hanging="340"/>
      </w:pPr>
      <w:rPr>
        <w:rFonts w:hint="default" w:ascii="Symbol" w:hAnsi="Symbol"/>
        <w:color w:val="00857E"/>
      </w:rPr>
    </w:lvl>
    <w:lvl w:ilvl="7" w:tentative="0">
      <w:start w:val="1"/>
      <w:numFmt w:val="bullet"/>
      <w:lvlText w:val=""/>
      <w:lvlJc w:val="left"/>
      <w:pPr>
        <w:ind w:left="2720" w:hanging="340"/>
      </w:pPr>
      <w:rPr>
        <w:rFonts w:hint="default" w:ascii="Symbol" w:hAnsi="Symbol"/>
        <w:color w:val="00857E"/>
      </w:rPr>
    </w:lvl>
    <w:lvl w:ilvl="8" w:tentative="0">
      <w:start w:val="1"/>
      <w:numFmt w:val="bullet"/>
      <w:lvlText w:val=""/>
      <w:lvlJc w:val="left"/>
      <w:pPr>
        <w:ind w:left="3060" w:hanging="340"/>
      </w:pPr>
      <w:rPr>
        <w:rFonts w:hint="default" w:ascii="Symbol" w:hAnsi="Symbol"/>
        <w:color w:val="00857E"/>
      </w:rPr>
    </w:lvl>
  </w:abstractNum>
  <w:abstractNum w:abstractNumId="5">
    <w:nsid w:val="110A56C7"/>
    <w:multiLevelType w:val="multilevel"/>
    <w:tmpl w:val="110A56C7"/>
    <w:lvl w:ilvl="0" w:tentative="0">
      <w:start w:val="1"/>
      <w:numFmt w:val="bullet"/>
      <w:lvlText w:val=""/>
      <w:lvlJc w:val="left"/>
      <w:pPr>
        <w:ind w:left="774" w:hanging="360"/>
      </w:pPr>
      <w:rPr>
        <w:rFonts w:hint="default" w:ascii="Symbol" w:hAnsi="Symbol"/>
      </w:rPr>
    </w:lvl>
    <w:lvl w:ilvl="1" w:tentative="0">
      <w:start w:val="1"/>
      <w:numFmt w:val="bullet"/>
      <w:lvlText w:val="o"/>
      <w:lvlJc w:val="left"/>
      <w:pPr>
        <w:ind w:left="1494" w:hanging="360"/>
      </w:pPr>
      <w:rPr>
        <w:rFonts w:hint="default" w:ascii="Courier New" w:hAnsi="Courier New" w:cs="Courier New"/>
      </w:rPr>
    </w:lvl>
    <w:lvl w:ilvl="2" w:tentative="0">
      <w:start w:val="1"/>
      <w:numFmt w:val="bullet"/>
      <w:lvlText w:val=""/>
      <w:lvlJc w:val="left"/>
      <w:pPr>
        <w:ind w:left="2214" w:hanging="360"/>
      </w:pPr>
      <w:rPr>
        <w:rFonts w:hint="default" w:ascii="Wingdings" w:hAnsi="Wingdings"/>
      </w:rPr>
    </w:lvl>
    <w:lvl w:ilvl="3" w:tentative="0">
      <w:start w:val="1"/>
      <w:numFmt w:val="bullet"/>
      <w:lvlText w:val=""/>
      <w:lvlJc w:val="left"/>
      <w:pPr>
        <w:ind w:left="2934" w:hanging="360"/>
      </w:pPr>
      <w:rPr>
        <w:rFonts w:hint="default" w:ascii="Symbol" w:hAnsi="Symbol"/>
      </w:rPr>
    </w:lvl>
    <w:lvl w:ilvl="4" w:tentative="0">
      <w:start w:val="1"/>
      <w:numFmt w:val="bullet"/>
      <w:lvlText w:val="o"/>
      <w:lvlJc w:val="left"/>
      <w:pPr>
        <w:ind w:left="3654" w:hanging="360"/>
      </w:pPr>
      <w:rPr>
        <w:rFonts w:hint="default" w:ascii="Courier New" w:hAnsi="Courier New" w:cs="Courier New"/>
      </w:rPr>
    </w:lvl>
    <w:lvl w:ilvl="5" w:tentative="0">
      <w:start w:val="1"/>
      <w:numFmt w:val="bullet"/>
      <w:lvlText w:val=""/>
      <w:lvlJc w:val="left"/>
      <w:pPr>
        <w:ind w:left="4374" w:hanging="360"/>
      </w:pPr>
      <w:rPr>
        <w:rFonts w:hint="default" w:ascii="Wingdings" w:hAnsi="Wingdings"/>
      </w:rPr>
    </w:lvl>
    <w:lvl w:ilvl="6" w:tentative="0">
      <w:start w:val="1"/>
      <w:numFmt w:val="bullet"/>
      <w:lvlText w:val=""/>
      <w:lvlJc w:val="left"/>
      <w:pPr>
        <w:ind w:left="5094" w:hanging="360"/>
      </w:pPr>
      <w:rPr>
        <w:rFonts w:hint="default" w:ascii="Symbol" w:hAnsi="Symbol"/>
      </w:rPr>
    </w:lvl>
    <w:lvl w:ilvl="7" w:tentative="0">
      <w:start w:val="1"/>
      <w:numFmt w:val="bullet"/>
      <w:lvlText w:val="o"/>
      <w:lvlJc w:val="left"/>
      <w:pPr>
        <w:ind w:left="5814" w:hanging="360"/>
      </w:pPr>
      <w:rPr>
        <w:rFonts w:hint="default" w:ascii="Courier New" w:hAnsi="Courier New" w:cs="Courier New"/>
      </w:rPr>
    </w:lvl>
    <w:lvl w:ilvl="8" w:tentative="0">
      <w:start w:val="1"/>
      <w:numFmt w:val="bullet"/>
      <w:lvlText w:val=""/>
      <w:lvlJc w:val="left"/>
      <w:pPr>
        <w:ind w:left="6534" w:hanging="360"/>
      </w:pPr>
      <w:rPr>
        <w:rFonts w:hint="default" w:ascii="Wingdings" w:hAnsi="Wingdings"/>
      </w:rPr>
    </w:lvl>
  </w:abstractNum>
  <w:abstractNum w:abstractNumId="6">
    <w:nsid w:val="23896992"/>
    <w:multiLevelType w:val="multilevel"/>
    <w:tmpl w:val="23896992"/>
    <w:lvl w:ilvl="0" w:tentative="0">
      <w:start w:val="1"/>
      <w:numFmt w:val="decimal"/>
      <w:lvlText w:val="%1."/>
      <w:lvlJc w:val="left"/>
      <w:pPr>
        <w:ind w:left="360" w:hanging="360"/>
      </w:pPr>
    </w:lvl>
    <w:lvl w:ilvl="1" w:tentative="0">
      <w:start w:val="1"/>
      <w:numFmt w:val="bullet"/>
      <w:pStyle w:val="292"/>
      <w:lvlText w:val=""/>
      <w:lvlJc w:val="left"/>
      <w:pPr>
        <w:ind w:left="792" w:hanging="432"/>
      </w:pPr>
      <w:rPr>
        <w:rFonts w:hint="default" w:ascii="Symbol" w:hAnsi="Symbol"/>
        <w:color w:val="808DDE" w:themeColor="accent4"/>
        <w14:textFill>
          <w14:solidFill>
            <w14:schemeClr w14:val="accent4"/>
          </w14:solidFill>
        </w14:textFill>
      </w:rPr>
    </w:lvl>
    <w:lvl w:ilvl="2" w:tentative="0">
      <w:start w:val="1"/>
      <w:numFmt w:val="bullet"/>
      <w:lvlText w:val="-"/>
      <w:lvlJc w:val="left"/>
      <w:pPr>
        <w:ind w:left="1224" w:hanging="504"/>
      </w:pPr>
      <w:rPr>
        <w:rFonts w:hint="default" w:ascii="Calibri" w:hAnsi="Calibri" w:eastAsia="Times New Roman" w:cs="Calibri"/>
        <w:color w:val="000000"/>
        <w:sz w:val="22"/>
      </w:rPr>
    </w:lvl>
    <w:lvl w:ilvl="3" w:tentative="0">
      <w:start w:val="1"/>
      <w:numFmt w:val="bullet"/>
      <w:lvlText w:val=""/>
      <w:lvlJc w:val="left"/>
      <w:pPr>
        <w:ind w:left="1728" w:hanging="648"/>
      </w:pPr>
      <w:rPr>
        <w:rFonts w:hint="default" w:ascii="Symbol" w:hAnsi="Symbol"/>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7">
    <w:nsid w:val="2E4558FE"/>
    <w:multiLevelType w:val="multilevel"/>
    <w:tmpl w:val="2E4558FE"/>
    <w:lvl w:ilvl="0" w:tentative="0">
      <w:start w:val="1"/>
      <w:numFmt w:val="decimal"/>
      <w:pStyle w:val="2"/>
      <w:lvlText w:val="%1."/>
      <w:lvlJc w:val="left"/>
      <w:pPr>
        <w:ind w:left="360" w:hanging="360"/>
      </w:pPr>
      <w:rPr>
        <w:rFonts w:hint="default"/>
        <w:color w:val="152C46" w:themeColor="text1"/>
        <w14:textFill>
          <w14:solidFill>
            <w14:schemeClr w14:val="tx1"/>
          </w14:solidFill>
        </w14:textFill>
      </w:r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37F27263"/>
    <w:multiLevelType w:val="multilevel"/>
    <w:tmpl w:val="37F27263"/>
    <w:lvl w:ilvl="0" w:tentative="0">
      <w:start w:val="1"/>
      <w:numFmt w:val="bullet"/>
      <w:lvlText w:val=""/>
      <w:lvlJc w:val="left"/>
      <w:pPr>
        <w:ind w:left="720" w:hanging="360"/>
      </w:pPr>
      <w:rPr>
        <w:rFonts w:hint="default" w:ascii="Symbol" w:hAnsi="Symbol"/>
        <w:color w:val="808DDE" w:themeColor="accent4"/>
        <w14:textFill>
          <w14:solidFill>
            <w14:schemeClr w14:val="accent4"/>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A870037"/>
    <w:multiLevelType w:val="multilevel"/>
    <w:tmpl w:val="3A870037"/>
    <w:lvl w:ilvl="0" w:tentative="0">
      <w:start w:val="1"/>
      <w:numFmt w:val="decimal"/>
      <w:pStyle w:val="82"/>
      <w:lvlText w:val="%1"/>
      <w:lvlJc w:val="left"/>
      <w:pPr>
        <w:ind w:left="340" w:hanging="340"/>
      </w:pPr>
      <w:rPr>
        <w:rFonts w:hint="default"/>
        <w:color w:val="808DDE"/>
      </w:rPr>
    </w:lvl>
    <w:lvl w:ilvl="1" w:tentative="0">
      <w:start w:val="1"/>
      <w:numFmt w:val="decimal"/>
      <w:pStyle w:val="83"/>
      <w:lvlText w:val="%1.%2"/>
      <w:lvlJc w:val="left"/>
      <w:pPr>
        <w:ind w:left="794" w:hanging="454"/>
      </w:pPr>
      <w:rPr>
        <w:rFonts w:hint="default"/>
        <w:color w:val="808DDE"/>
      </w:rPr>
    </w:lvl>
    <w:lvl w:ilvl="2" w:tentative="0">
      <w:start w:val="1"/>
      <w:numFmt w:val="decimal"/>
      <w:pStyle w:val="84"/>
      <w:lvlText w:val="%1.%2.%3"/>
      <w:lvlJc w:val="left"/>
      <w:pPr>
        <w:ind w:left="1361" w:hanging="567"/>
      </w:pPr>
      <w:rPr>
        <w:rFonts w:hint="default"/>
        <w:color w:val="808DDE"/>
      </w:rPr>
    </w:lvl>
    <w:lvl w:ilvl="3" w:tentative="0">
      <w:start w:val="1"/>
      <w:numFmt w:val="none"/>
      <w:lvlText w:val=""/>
      <w:lvlJc w:val="left"/>
      <w:pPr>
        <w:ind w:left="1360" w:hanging="340"/>
      </w:pPr>
      <w:rPr>
        <w:rFonts w:hint="default"/>
      </w:rPr>
    </w:lvl>
    <w:lvl w:ilvl="4" w:tentative="0">
      <w:start w:val="1"/>
      <w:numFmt w:val="none"/>
      <w:lvlText w:val=""/>
      <w:lvlJc w:val="left"/>
      <w:pPr>
        <w:ind w:left="1700" w:hanging="340"/>
      </w:pPr>
      <w:rPr>
        <w:rFonts w:hint="default"/>
      </w:rPr>
    </w:lvl>
    <w:lvl w:ilvl="5" w:tentative="0">
      <w:start w:val="1"/>
      <w:numFmt w:val="none"/>
      <w:lvlText w:val=""/>
      <w:lvlJc w:val="left"/>
      <w:pPr>
        <w:ind w:left="2040" w:hanging="340"/>
      </w:pPr>
      <w:rPr>
        <w:rFonts w:hint="default"/>
      </w:rPr>
    </w:lvl>
    <w:lvl w:ilvl="6" w:tentative="0">
      <w:start w:val="1"/>
      <w:numFmt w:val="none"/>
      <w:lvlText w:val=""/>
      <w:lvlJc w:val="left"/>
      <w:pPr>
        <w:ind w:left="2380" w:hanging="340"/>
      </w:pPr>
      <w:rPr>
        <w:rFonts w:hint="default"/>
      </w:rPr>
    </w:lvl>
    <w:lvl w:ilvl="7" w:tentative="0">
      <w:start w:val="1"/>
      <w:numFmt w:val="none"/>
      <w:lvlText w:val=""/>
      <w:lvlJc w:val="left"/>
      <w:pPr>
        <w:ind w:left="2720" w:hanging="340"/>
      </w:pPr>
      <w:rPr>
        <w:rFonts w:hint="default"/>
      </w:rPr>
    </w:lvl>
    <w:lvl w:ilvl="8" w:tentative="0">
      <w:start w:val="1"/>
      <w:numFmt w:val="none"/>
      <w:lvlText w:val=""/>
      <w:lvlJc w:val="left"/>
      <w:pPr>
        <w:ind w:left="3060" w:hanging="340"/>
      </w:pPr>
      <w:rPr>
        <w:rFonts w:hint="default"/>
      </w:rPr>
    </w:lvl>
  </w:abstractNum>
  <w:abstractNum w:abstractNumId="10">
    <w:nsid w:val="3B8932F6"/>
    <w:multiLevelType w:val="multilevel"/>
    <w:tmpl w:val="3B8932F6"/>
    <w:lvl w:ilvl="0" w:tentative="0">
      <w:start w:val="1"/>
      <w:numFmt w:val="decimal"/>
      <w:lvlText w:val="%1."/>
      <w:lvlJc w:val="left"/>
      <w:pPr>
        <w:ind w:left="720" w:hanging="360"/>
      </w:pPr>
      <w:rPr>
        <w:rFonts w:hint="default"/>
        <w:color w:val="152C46"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E3111C2"/>
    <w:multiLevelType w:val="multilevel"/>
    <w:tmpl w:val="3E3111C2"/>
    <w:lvl w:ilvl="0" w:tentative="0">
      <w:start w:val="0"/>
      <w:numFmt w:val="bullet"/>
      <w:lvlText w:val="•"/>
      <w:lvlJc w:val="left"/>
      <w:pPr>
        <w:ind w:left="720" w:hanging="360"/>
      </w:pPr>
      <w:rPr>
        <w:rFonts w:hint="default" w:ascii="SymbolMT" w:hAnsi="SymbolMT" w:eastAsia="Times New Roman" w:cs="Times New Roman"/>
        <w:color w:val="000000"/>
        <w:sz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8F81789"/>
    <w:multiLevelType w:val="multilevel"/>
    <w:tmpl w:val="48F81789"/>
    <w:lvl w:ilvl="0" w:tentative="0">
      <w:start w:val="1"/>
      <w:numFmt w:val="none"/>
      <w:pStyle w:val="305"/>
      <w:suff w:val="nothing"/>
      <w:lvlText w:val=""/>
      <w:lvlJc w:val="left"/>
      <w:pPr>
        <w:ind w:left="0" w:firstLine="0"/>
      </w:pPr>
      <w:rPr>
        <w:rFonts w:hint="default"/>
        <w:color w:val="00857E"/>
      </w:rPr>
    </w:lvl>
    <w:lvl w:ilvl="1" w:tentative="0">
      <w:start w:val="1"/>
      <w:numFmt w:val="decimal"/>
      <w:lvlText w:val="%2."/>
      <w:lvlJc w:val="left"/>
      <w:pPr>
        <w:ind w:left="397" w:hanging="397"/>
      </w:pPr>
      <w:rPr>
        <w:rFonts w:hint="default"/>
        <w:color w:val="00857E"/>
      </w:rPr>
    </w:lvl>
    <w:lvl w:ilvl="2" w:tentative="0">
      <w:start w:val="1"/>
      <w:numFmt w:val="decimal"/>
      <w:lvlText w:val="%2.%3"/>
      <w:lvlJc w:val="left"/>
      <w:pPr>
        <w:ind w:left="567" w:hanging="567"/>
      </w:pPr>
      <w:rPr>
        <w:rFonts w:hint="default"/>
        <w:color w:val="00857E"/>
      </w:rPr>
    </w:lvl>
    <w:lvl w:ilvl="3" w:tentative="0">
      <w:start w:val="1"/>
      <w:numFmt w:val="decimal"/>
      <w:lvlText w:val="%2.%3.%4"/>
      <w:lvlJc w:val="left"/>
      <w:pPr>
        <w:ind w:left="737" w:hanging="737"/>
      </w:pPr>
      <w:rPr>
        <w:rFonts w:hint="default"/>
        <w:color w:val="00857E"/>
      </w:rPr>
    </w:lvl>
    <w:lvl w:ilvl="4" w:tentative="0">
      <w:start w:val="1"/>
      <w:numFmt w:val="decimal"/>
      <w:lvlText w:val="%2.%3.%4.%5"/>
      <w:lvlJc w:val="left"/>
      <w:pPr>
        <w:ind w:left="907" w:hanging="907"/>
      </w:pPr>
      <w:rPr>
        <w:rFonts w:hint="default"/>
        <w:color w:val="00857E"/>
      </w:rPr>
    </w:lvl>
    <w:lvl w:ilvl="5" w:tentative="0">
      <w:start w:val="1"/>
      <w:numFmt w:val="none"/>
      <w:suff w:val="nothing"/>
      <w:lvlText w:val=""/>
      <w:lvlJc w:val="left"/>
      <w:pPr>
        <w:ind w:left="907" w:hanging="907"/>
      </w:pPr>
      <w:rPr>
        <w:rFonts w:hint="default"/>
      </w:rPr>
    </w:lvl>
    <w:lvl w:ilvl="6" w:tentative="0">
      <w:start w:val="1"/>
      <w:numFmt w:val="none"/>
      <w:suff w:val="nothing"/>
      <w:lvlText w:val=""/>
      <w:lvlJc w:val="left"/>
      <w:pPr>
        <w:ind w:left="907" w:hanging="907"/>
      </w:pPr>
      <w:rPr>
        <w:rFonts w:hint="default"/>
      </w:rPr>
    </w:lvl>
    <w:lvl w:ilvl="7" w:tentative="0">
      <w:start w:val="1"/>
      <w:numFmt w:val="none"/>
      <w:suff w:val="nothing"/>
      <w:lvlText w:val=""/>
      <w:lvlJc w:val="left"/>
      <w:pPr>
        <w:ind w:left="907" w:hanging="907"/>
      </w:pPr>
      <w:rPr>
        <w:rFonts w:hint="default"/>
      </w:rPr>
    </w:lvl>
    <w:lvl w:ilvl="8" w:tentative="0">
      <w:start w:val="1"/>
      <w:numFmt w:val="none"/>
      <w:suff w:val="nothing"/>
      <w:lvlText w:val=""/>
      <w:lvlJc w:val="left"/>
      <w:pPr>
        <w:ind w:left="907" w:hanging="907"/>
      </w:pPr>
      <w:rPr>
        <w:rFonts w:hint="default"/>
      </w:rPr>
    </w:lvl>
  </w:abstractNum>
  <w:abstractNum w:abstractNumId="13">
    <w:nsid w:val="517B167B"/>
    <w:multiLevelType w:val="multilevel"/>
    <w:tmpl w:val="517B167B"/>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Manrope" w:hAnsi="Manrope"/>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7C723D8"/>
    <w:multiLevelType w:val="multilevel"/>
    <w:tmpl w:val="57C723D8"/>
    <w:lvl w:ilvl="0" w:tentative="0">
      <w:start w:val="1"/>
      <w:numFmt w:val="bullet"/>
      <w:pStyle w:val="284"/>
      <w:lvlText w:val=""/>
      <w:lvlJc w:val="left"/>
      <w:pPr>
        <w:ind w:left="340" w:hanging="227"/>
      </w:pPr>
      <w:rPr>
        <w:rFonts w:hint="default" w:ascii="Symbol" w:hAnsi="Symbol"/>
        <w:color w:val="808DDE"/>
      </w:rPr>
    </w:lvl>
    <w:lvl w:ilvl="1" w:tentative="0">
      <w:start w:val="1"/>
      <w:numFmt w:val="bullet"/>
      <w:pStyle w:val="346"/>
      <w:lvlText w:val="–"/>
      <w:lvlJc w:val="left"/>
      <w:pPr>
        <w:ind w:left="567" w:hanging="227"/>
      </w:pPr>
      <w:rPr>
        <w:rFonts w:hint="default" w:ascii="Arial" w:hAnsi="Arial"/>
        <w:color w:val="808DDE"/>
      </w:rPr>
    </w:lvl>
    <w:lvl w:ilvl="2" w:tentative="0">
      <w:start w:val="1"/>
      <w:numFmt w:val="bullet"/>
      <w:pStyle w:val="347"/>
      <w:lvlText w:val=""/>
      <w:lvlJc w:val="left"/>
      <w:pPr>
        <w:ind w:left="794" w:hanging="227"/>
      </w:pPr>
      <w:rPr>
        <w:rFonts w:hint="default" w:ascii="Symbol" w:hAnsi="Symbol"/>
        <w:color w:val="808DDE"/>
      </w:rPr>
    </w:lvl>
    <w:lvl w:ilvl="3" w:tentative="0">
      <w:start w:val="1"/>
      <w:numFmt w:val="none"/>
      <w:lvlText w:val=""/>
      <w:lvlJc w:val="left"/>
      <w:pPr>
        <w:ind w:left="1021" w:hanging="227"/>
      </w:pPr>
      <w:rPr>
        <w:rFonts w:hint="default"/>
      </w:rPr>
    </w:lvl>
    <w:lvl w:ilvl="4" w:tentative="0">
      <w:start w:val="1"/>
      <w:numFmt w:val="none"/>
      <w:lvlText w:val=""/>
      <w:lvlJc w:val="left"/>
      <w:pPr>
        <w:ind w:left="1248" w:hanging="227"/>
      </w:pPr>
      <w:rPr>
        <w:rFonts w:hint="default"/>
      </w:rPr>
    </w:lvl>
    <w:lvl w:ilvl="5" w:tentative="0">
      <w:start w:val="1"/>
      <w:numFmt w:val="none"/>
      <w:lvlText w:val=""/>
      <w:lvlJc w:val="left"/>
      <w:pPr>
        <w:ind w:left="1475" w:hanging="227"/>
      </w:pPr>
      <w:rPr>
        <w:rFonts w:hint="default"/>
      </w:rPr>
    </w:lvl>
    <w:lvl w:ilvl="6" w:tentative="0">
      <w:start w:val="1"/>
      <w:numFmt w:val="none"/>
      <w:lvlText w:val=""/>
      <w:lvlJc w:val="left"/>
      <w:pPr>
        <w:ind w:left="1702" w:hanging="227"/>
      </w:pPr>
      <w:rPr>
        <w:rFonts w:hint="default"/>
      </w:rPr>
    </w:lvl>
    <w:lvl w:ilvl="7" w:tentative="0">
      <w:start w:val="1"/>
      <w:numFmt w:val="none"/>
      <w:lvlText w:val=""/>
      <w:lvlJc w:val="left"/>
      <w:pPr>
        <w:ind w:left="1929" w:hanging="227"/>
      </w:pPr>
      <w:rPr>
        <w:rFonts w:hint="default"/>
      </w:rPr>
    </w:lvl>
    <w:lvl w:ilvl="8" w:tentative="0">
      <w:start w:val="1"/>
      <w:numFmt w:val="none"/>
      <w:lvlText w:val=""/>
      <w:lvlJc w:val="left"/>
      <w:pPr>
        <w:ind w:left="2156" w:hanging="227"/>
      </w:pPr>
      <w:rPr>
        <w:rFonts w:hint="default"/>
      </w:rPr>
    </w:lvl>
  </w:abstractNum>
  <w:abstractNum w:abstractNumId="15">
    <w:nsid w:val="66F765BB"/>
    <w:multiLevelType w:val="multilevel"/>
    <w:tmpl w:val="66F765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
    <w:nsid w:val="77C508CB"/>
    <w:multiLevelType w:val="multilevel"/>
    <w:tmpl w:val="77C508CB"/>
    <w:lvl w:ilvl="0" w:tentative="0">
      <w:start w:val="1"/>
      <w:numFmt w:val="bullet"/>
      <w:pStyle w:val="350"/>
      <w:lvlText w:val=""/>
      <w:lvlJc w:val="left"/>
      <w:pPr>
        <w:ind w:left="340" w:hanging="340"/>
      </w:pPr>
      <w:rPr>
        <w:rFonts w:hint="default" w:ascii="Symbol" w:hAnsi="Symbol"/>
        <w:color w:val="808DDE"/>
      </w:rPr>
    </w:lvl>
    <w:lvl w:ilvl="1" w:tentative="0">
      <w:start w:val="1"/>
      <w:numFmt w:val="bullet"/>
      <w:lvlText w:val=""/>
      <w:lvlJc w:val="left"/>
      <w:pPr>
        <w:ind w:left="680" w:hanging="340"/>
      </w:pPr>
      <w:rPr>
        <w:rFonts w:hint="default" w:ascii="Symbol" w:hAnsi="Symbol"/>
        <w:color w:val="808DDE"/>
      </w:rPr>
    </w:lvl>
    <w:lvl w:ilvl="2" w:tentative="0">
      <w:start w:val="1"/>
      <w:numFmt w:val="bullet"/>
      <w:lvlText w:val=""/>
      <w:lvlJc w:val="left"/>
      <w:pPr>
        <w:ind w:left="1020" w:hanging="340"/>
      </w:pPr>
      <w:rPr>
        <w:rFonts w:hint="default" w:ascii="Symbol" w:hAnsi="Symbol"/>
        <w:color w:val="808DDE"/>
      </w:rPr>
    </w:lvl>
    <w:lvl w:ilvl="3" w:tentative="0">
      <w:start w:val="1"/>
      <w:numFmt w:val="bullet"/>
      <w:lvlText w:val=""/>
      <w:lvlJc w:val="left"/>
      <w:pPr>
        <w:ind w:left="1360" w:hanging="340"/>
      </w:pPr>
      <w:rPr>
        <w:rFonts w:hint="default" w:ascii="Symbol" w:hAnsi="Symbol"/>
        <w:color w:val="808DDE"/>
      </w:rPr>
    </w:lvl>
    <w:lvl w:ilvl="4" w:tentative="0">
      <w:start w:val="1"/>
      <w:numFmt w:val="bullet"/>
      <w:lvlText w:val=""/>
      <w:lvlJc w:val="left"/>
      <w:pPr>
        <w:ind w:left="1700" w:hanging="340"/>
      </w:pPr>
      <w:rPr>
        <w:rFonts w:hint="default" w:ascii="Symbol" w:hAnsi="Symbol"/>
        <w:color w:val="00857E"/>
      </w:rPr>
    </w:lvl>
    <w:lvl w:ilvl="5" w:tentative="0">
      <w:start w:val="1"/>
      <w:numFmt w:val="bullet"/>
      <w:lvlText w:val=""/>
      <w:lvlJc w:val="left"/>
      <w:pPr>
        <w:ind w:left="2040" w:hanging="340"/>
      </w:pPr>
      <w:rPr>
        <w:rFonts w:hint="default" w:ascii="Symbol" w:hAnsi="Symbol"/>
        <w:color w:val="00857E"/>
      </w:rPr>
    </w:lvl>
    <w:lvl w:ilvl="6" w:tentative="0">
      <w:start w:val="1"/>
      <w:numFmt w:val="bullet"/>
      <w:lvlText w:val=""/>
      <w:lvlJc w:val="left"/>
      <w:pPr>
        <w:ind w:left="2380" w:hanging="340"/>
      </w:pPr>
      <w:rPr>
        <w:rFonts w:hint="default" w:ascii="Symbol" w:hAnsi="Symbol"/>
        <w:color w:val="00857E"/>
      </w:rPr>
    </w:lvl>
    <w:lvl w:ilvl="7" w:tentative="0">
      <w:start w:val="1"/>
      <w:numFmt w:val="bullet"/>
      <w:lvlText w:val=""/>
      <w:lvlJc w:val="left"/>
      <w:pPr>
        <w:ind w:left="2720" w:hanging="340"/>
      </w:pPr>
      <w:rPr>
        <w:rFonts w:hint="default" w:ascii="Symbol" w:hAnsi="Symbol"/>
        <w:color w:val="00857E"/>
      </w:rPr>
    </w:lvl>
    <w:lvl w:ilvl="8" w:tentative="0">
      <w:start w:val="1"/>
      <w:numFmt w:val="bullet"/>
      <w:lvlText w:val=""/>
      <w:lvlJc w:val="left"/>
      <w:pPr>
        <w:ind w:left="3060" w:hanging="340"/>
      </w:pPr>
      <w:rPr>
        <w:rFonts w:hint="default" w:ascii="Symbol" w:hAnsi="Symbol"/>
        <w:color w:val="00857E"/>
      </w:rPr>
    </w:lvl>
  </w:abstractNum>
  <w:abstractNum w:abstractNumId="17">
    <w:nsid w:val="7D2707A0"/>
    <w:multiLevelType w:val="multilevel"/>
    <w:tmpl w:val="7D2707A0"/>
    <w:lvl w:ilvl="0" w:tentative="0">
      <w:start w:val="1"/>
      <w:numFmt w:val="bullet"/>
      <w:lvlText w:val=""/>
      <w:lvlJc w:val="left"/>
      <w:pPr>
        <w:ind w:left="720" w:hanging="360"/>
      </w:pPr>
      <w:rPr>
        <w:rFonts w:hint="default" w:ascii="Symbol" w:hAnsi="Symbol"/>
        <w:color w:val="000000"/>
        <w:sz w:val="22"/>
      </w:rPr>
    </w:lvl>
    <w:lvl w:ilvl="1" w:tentative="0">
      <w:start w:val="1"/>
      <w:numFmt w:val="bullet"/>
      <w:lvlText w:val="−"/>
      <w:lvlJc w:val="left"/>
      <w:pPr>
        <w:ind w:left="1440" w:hanging="360"/>
      </w:pPr>
      <w:rPr>
        <w:rFonts w:hint="default" w:ascii="Manrope" w:hAnsi="Manrope"/>
      </w:rPr>
    </w:lvl>
    <w:lvl w:ilvl="2" w:tentative="0">
      <w:start w:val="1"/>
      <w:numFmt w:val="bullet"/>
      <w:lvlText w:val="-"/>
      <w:lvlJc w:val="left"/>
      <w:pPr>
        <w:ind w:left="2160" w:hanging="360"/>
      </w:pPr>
      <w:rPr>
        <w:rFonts w:hint="default" w:ascii="Calibri" w:hAnsi="Calibri" w:eastAsia="Times New Roman" w:cs="Calibri"/>
        <w:color w:val="000000"/>
        <w:sz w:val="22"/>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4"/>
  </w:num>
  <w:num w:numId="3">
    <w:abstractNumId w:val="3"/>
  </w:num>
  <w:num w:numId="4">
    <w:abstractNumId w:val="2"/>
  </w:num>
  <w:num w:numId="5">
    <w:abstractNumId w:val="9"/>
  </w:num>
  <w:num w:numId="6">
    <w:abstractNumId w:val="1"/>
  </w:num>
  <w:num w:numId="7">
    <w:abstractNumId w:val="0"/>
  </w:num>
  <w:num w:numId="8">
    <w:abstractNumId w:val="14"/>
  </w:num>
  <w:num w:numId="9">
    <w:abstractNumId w:val="6"/>
  </w:num>
  <w:num w:numId="10">
    <w:abstractNumId w:val="12"/>
  </w:num>
  <w:num w:numId="11">
    <w:abstractNumId w:val="16"/>
  </w:num>
  <w:num w:numId="12">
    <w:abstractNumId w:val="8"/>
  </w:num>
  <w:num w:numId="13">
    <w:abstractNumId w:val="11"/>
  </w:num>
  <w:num w:numId="14">
    <w:abstractNumId w:val="10"/>
  </w:num>
  <w:num w:numId="15">
    <w:abstractNumId w:val="13"/>
  </w:num>
  <w:num w:numId="16">
    <w:abstractNumId w:val="17"/>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1NTA1NTYyM7EwtzBT0lEKTi0uzszPAykwrAUAfl2BiSwAAAA="/>
    <w:docVar w:name="GUID" w:val="9bb57e2d-0b65-4629-8513-c618b4333471"/>
    <w:docVar w:name="JLT_AddressId" w:val="150"/>
    <w:docVar w:name="JLT_BaseLanguageId" w:val="0"/>
    <w:docVar w:name="JLT_BusUnitId" w:val="4"/>
    <w:docVar w:name="JLT_DisclaimerId" w:val="305"/>
    <w:docVar w:name="JLT_Division" w:val="JLT Specialty"/>
    <w:docVar w:name="JLT_DivisionId" w:val="22"/>
    <w:docVar w:name="JLT_FooterText" w:val=" "/>
    <w:docVar w:name="JLT_HideChapterHead" w:val="False"/>
    <w:docVar w:name="JLT_LogoId" w:val="1"/>
    <w:docVar w:name="JLT_NumChHead" w:val="False"/>
    <w:docVar w:name="JLT_NumDocHeads" w:val="False"/>
    <w:docVar w:name="JLT_OfficeSetupComplete" w:val="True"/>
    <w:docVar w:name="JLT_ShowDivision" w:val="False"/>
    <w:docVar w:name="MS_Client" w:val="JLT"/>
    <w:docVar w:name="MS_MediaSterling" w:val="True"/>
    <w:docVar w:name="MS_ProductName" w:val="ForwardPitch"/>
    <w:docVar w:name="MS_TemplateType" w:val="1"/>
  </w:docVars>
  <w:rsids>
    <w:rsidRoot w:val="00227E39"/>
    <w:rsid w:val="000003D3"/>
    <w:rsid w:val="00007D10"/>
    <w:rsid w:val="00012DC2"/>
    <w:rsid w:val="000141CB"/>
    <w:rsid w:val="000151FC"/>
    <w:rsid w:val="0002220F"/>
    <w:rsid w:val="000229E8"/>
    <w:rsid w:val="0002318D"/>
    <w:rsid w:val="00025603"/>
    <w:rsid w:val="00026DB5"/>
    <w:rsid w:val="000278AE"/>
    <w:rsid w:val="000309B7"/>
    <w:rsid w:val="00032C4D"/>
    <w:rsid w:val="00032CB1"/>
    <w:rsid w:val="0003418A"/>
    <w:rsid w:val="00034505"/>
    <w:rsid w:val="00034C40"/>
    <w:rsid w:val="00036498"/>
    <w:rsid w:val="00037F7C"/>
    <w:rsid w:val="00044D9F"/>
    <w:rsid w:val="00045E1E"/>
    <w:rsid w:val="00046011"/>
    <w:rsid w:val="00050E83"/>
    <w:rsid w:val="0005251F"/>
    <w:rsid w:val="00052686"/>
    <w:rsid w:val="00052971"/>
    <w:rsid w:val="0005352F"/>
    <w:rsid w:val="000538D7"/>
    <w:rsid w:val="00056AD9"/>
    <w:rsid w:val="000606C4"/>
    <w:rsid w:val="0006113A"/>
    <w:rsid w:val="000636AD"/>
    <w:rsid w:val="00063CBB"/>
    <w:rsid w:val="00063E3A"/>
    <w:rsid w:val="00064572"/>
    <w:rsid w:val="00067088"/>
    <w:rsid w:val="00067DCE"/>
    <w:rsid w:val="000710D0"/>
    <w:rsid w:val="00071238"/>
    <w:rsid w:val="0007307C"/>
    <w:rsid w:val="0007491A"/>
    <w:rsid w:val="00077258"/>
    <w:rsid w:val="000772F4"/>
    <w:rsid w:val="00081EEA"/>
    <w:rsid w:val="000822EE"/>
    <w:rsid w:val="0008295A"/>
    <w:rsid w:val="00084253"/>
    <w:rsid w:val="00090051"/>
    <w:rsid w:val="00090DEF"/>
    <w:rsid w:val="00090F3A"/>
    <w:rsid w:val="000940C4"/>
    <w:rsid w:val="000946D3"/>
    <w:rsid w:val="000948CD"/>
    <w:rsid w:val="0009589B"/>
    <w:rsid w:val="00096EC2"/>
    <w:rsid w:val="000A05F9"/>
    <w:rsid w:val="000A0EB2"/>
    <w:rsid w:val="000A4736"/>
    <w:rsid w:val="000A6AF5"/>
    <w:rsid w:val="000A7D9B"/>
    <w:rsid w:val="000B3A13"/>
    <w:rsid w:val="000B44F4"/>
    <w:rsid w:val="000B46D6"/>
    <w:rsid w:val="000B477E"/>
    <w:rsid w:val="000B51DC"/>
    <w:rsid w:val="000B5510"/>
    <w:rsid w:val="000B6AB5"/>
    <w:rsid w:val="000B7157"/>
    <w:rsid w:val="000B766D"/>
    <w:rsid w:val="000B76AB"/>
    <w:rsid w:val="000C0E66"/>
    <w:rsid w:val="000C4EAF"/>
    <w:rsid w:val="000C51BA"/>
    <w:rsid w:val="000C5929"/>
    <w:rsid w:val="000C6B94"/>
    <w:rsid w:val="000C7EB0"/>
    <w:rsid w:val="000D00B0"/>
    <w:rsid w:val="000D1A5E"/>
    <w:rsid w:val="000D59EA"/>
    <w:rsid w:val="000D76E8"/>
    <w:rsid w:val="000E15BC"/>
    <w:rsid w:val="000E1F69"/>
    <w:rsid w:val="000E2198"/>
    <w:rsid w:val="000E2D2C"/>
    <w:rsid w:val="000E5418"/>
    <w:rsid w:val="000E5E78"/>
    <w:rsid w:val="000E6F0F"/>
    <w:rsid w:val="000E7E01"/>
    <w:rsid w:val="000F082E"/>
    <w:rsid w:val="000F2E36"/>
    <w:rsid w:val="000F3575"/>
    <w:rsid w:val="000F5849"/>
    <w:rsid w:val="000F6C31"/>
    <w:rsid w:val="00100646"/>
    <w:rsid w:val="00100CD1"/>
    <w:rsid w:val="0010127E"/>
    <w:rsid w:val="00101ED2"/>
    <w:rsid w:val="00101ED8"/>
    <w:rsid w:val="00102A3E"/>
    <w:rsid w:val="0010363D"/>
    <w:rsid w:val="00103AF0"/>
    <w:rsid w:val="001043CD"/>
    <w:rsid w:val="00105CC6"/>
    <w:rsid w:val="001100C7"/>
    <w:rsid w:val="0011030D"/>
    <w:rsid w:val="0011251F"/>
    <w:rsid w:val="00113518"/>
    <w:rsid w:val="00115F16"/>
    <w:rsid w:val="00116250"/>
    <w:rsid w:val="001165E2"/>
    <w:rsid w:val="0011694B"/>
    <w:rsid w:val="00120F96"/>
    <w:rsid w:val="00124AFD"/>
    <w:rsid w:val="00124BF4"/>
    <w:rsid w:val="00125656"/>
    <w:rsid w:val="001266E0"/>
    <w:rsid w:val="00126781"/>
    <w:rsid w:val="001270AD"/>
    <w:rsid w:val="001278E5"/>
    <w:rsid w:val="00131B3A"/>
    <w:rsid w:val="00132422"/>
    <w:rsid w:val="001325F6"/>
    <w:rsid w:val="001354C1"/>
    <w:rsid w:val="00135807"/>
    <w:rsid w:val="0014058B"/>
    <w:rsid w:val="0014188F"/>
    <w:rsid w:val="001445E7"/>
    <w:rsid w:val="001447CE"/>
    <w:rsid w:val="00145806"/>
    <w:rsid w:val="00145FCF"/>
    <w:rsid w:val="00146AA6"/>
    <w:rsid w:val="0014772E"/>
    <w:rsid w:val="0015121E"/>
    <w:rsid w:val="00151B25"/>
    <w:rsid w:val="00151D7C"/>
    <w:rsid w:val="001529DF"/>
    <w:rsid w:val="00152C46"/>
    <w:rsid w:val="00154322"/>
    <w:rsid w:val="0016115D"/>
    <w:rsid w:val="00161645"/>
    <w:rsid w:val="00161B2A"/>
    <w:rsid w:val="00161E2F"/>
    <w:rsid w:val="00163120"/>
    <w:rsid w:val="00164A77"/>
    <w:rsid w:val="00166C7A"/>
    <w:rsid w:val="00170FCC"/>
    <w:rsid w:val="00172002"/>
    <w:rsid w:val="00172E8F"/>
    <w:rsid w:val="001731F0"/>
    <w:rsid w:val="001737C1"/>
    <w:rsid w:val="00176873"/>
    <w:rsid w:val="00180E0F"/>
    <w:rsid w:val="00181EB6"/>
    <w:rsid w:val="001836CF"/>
    <w:rsid w:val="00183BA2"/>
    <w:rsid w:val="00184331"/>
    <w:rsid w:val="001863FA"/>
    <w:rsid w:val="00191772"/>
    <w:rsid w:val="00191F1E"/>
    <w:rsid w:val="001931EB"/>
    <w:rsid w:val="001A001A"/>
    <w:rsid w:val="001A2020"/>
    <w:rsid w:val="001A2447"/>
    <w:rsid w:val="001A27DA"/>
    <w:rsid w:val="001A2EDA"/>
    <w:rsid w:val="001A5DAF"/>
    <w:rsid w:val="001A6355"/>
    <w:rsid w:val="001A6506"/>
    <w:rsid w:val="001A7B9E"/>
    <w:rsid w:val="001B0A87"/>
    <w:rsid w:val="001B43E8"/>
    <w:rsid w:val="001B579A"/>
    <w:rsid w:val="001B5A7E"/>
    <w:rsid w:val="001B5B64"/>
    <w:rsid w:val="001B5E89"/>
    <w:rsid w:val="001B63DF"/>
    <w:rsid w:val="001B6D5D"/>
    <w:rsid w:val="001C051A"/>
    <w:rsid w:val="001C0E4A"/>
    <w:rsid w:val="001C362A"/>
    <w:rsid w:val="001C5222"/>
    <w:rsid w:val="001C547B"/>
    <w:rsid w:val="001C5A59"/>
    <w:rsid w:val="001C67F1"/>
    <w:rsid w:val="001C6C7B"/>
    <w:rsid w:val="001D046C"/>
    <w:rsid w:val="001D16C7"/>
    <w:rsid w:val="001D1A82"/>
    <w:rsid w:val="001D23D4"/>
    <w:rsid w:val="001D23F0"/>
    <w:rsid w:val="001D37DD"/>
    <w:rsid w:val="001D40DA"/>
    <w:rsid w:val="001D497D"/>
    <w:rsid w:val="001D50C8"/>
    <w:rsid w:val="001D7432"/>
    <w:rsid w:val="001D7616"/>
    <w:rsid w:val="001E1A97"/>
    <w:rsid w:val="001E218A"/>
    <w:rsid w:val="001E2474"/>
    <w:rsid w:val="001E27E2"/>
    <w:rsid w:val="001E2884"/>
    <w:rsid w:val="001E2991"/>
    <w:rsid w:val="001E4346"/>
    <w:rsid w:val="001E4737"/>
    <w:rsid w:val="001E491B"/>
    <w:rsid w:val="001E5AE9"/>
    <w:rsid w:val="001E7D52"/>
    <w:rsid w:val="001F048B"/>
    <w:rsid w:val="001F1D71"/>
    <w:rsid w:val="001F6F85"/>
    <w:rsid w:val="002002A4"/>
    <w:rsid w:val="002013A6"/>
    <w:rsid w:val="00201A0C"/>
    <w:rsid w:val="00202587"/>
    <w:rsid w:val="00202682"/>
    <w:rsid w:val="002031BD"/>
    <w:rsid w:val="00204837"/>
    <w:rsid w:val="00204FAE"/>
    <w:rsid w:val="00205CA3"/>
    <w:rsid w:val="00206D8E"/>
    <w:rsid w:val="00211D52"/>
    <w:rsid w:val="002130EB"/>
    <w:rsid w:val="00213FC8"/>
    <w:rsid w:val="00216DEB"/>
    <w:rsid w:val="00217511"/>
    <w:rsid w:val="00222F95"/>
    <w:rsid w:val="00224099"/>
    <w:rsid w:val="00224A12"/>
    <w:rsid w:val="00226E4F"/>
    <w:rsid w:val="00227DAA"/>
    <w:rsid w:val="00227E39"/>
    <w:rsid w:val="00230366"/>
    <w:rsid w:val="00230EDF"/>
    <w:rsid w:val="00231E69"/>
    <w:rsid w:val="00232D1A"/>
    <w:rsid w:val="002346FB"/>
    <w:rsid w:val="002348AD"/>
    <w:rsid w:val="0023593A"/>
    <w:rsid w:val="00240D89"/>
    <w:rsid w:val="002421AB"/>
    <w:rsid w:val="002438BB"/>
    <w:rsid w:val="00244995"/>
    <w:rsid w:val="00246E65"/>
    <w:rsid w:val="00250EE1"/>
    <w:rsid w:val="002530E6"/>
    <w:rsid w:val="002535B7"/>
    <w:rsid w:val="0025663F"/>
    <w:rsid w:val="00256C52"/>
    <w:rsid w:val="00257551"/>
    <w:rsid w:val="002575CB"/>
    <w:rsid w:val="00260542"/>
    <w:rsid w:val="00262437"/>
    <w:rsid w:val="00263340"/>
    <w:rsid w:val="002634F9"/>
    <w:rsid w:val="0026423E"/>
    <w:rsid w:val="00264320"/>
    <w:rsid w:val="00264567"/>
    <w:rsid w:val="00266DB7"/>
    <w:rsid w:val="00267885"/>
    <w:rsid w:val="00272594"/>
    <w:rsid w:val="00272CD6"/>
    <w:rsid w:val="0027380F"/>
    <w:rsid w:val="00274266"/>
    <w:rsid w:val="002743A4"/>
    <w:rsid w:val="0027520D"/>
    <w:rsid w:val="00276DF2"/>
    <w:rsid w:val="00280771"/>
    <w:rsid w:val="00280F9C"/>
    <w:rsid w:val="0028444B"/>
    <w:rsid w:val="0028464C"/>
    <w:rsid w:val="00285DA8"/>
    <w:rsid w:val="00290532"/>
    <w:rsid w:val="00290D94"/>
    <w:rsid w:val="0029334B"/>
    <w:rsid w:val="0029568D"/>
    <w:rsid w:val="00296D51"/>
    <w:rsid w:val="002979A5"/>
    <w:rsid w:val="00297F08"/>
    <w:rsid w:val="002A2216"/>
    <w:rsid w:val="002A2823"/>
    <w:rsid w:val="002A405C"/>
    <w:rsid w:val="002A5C85"/>
    <w:rsid w:val="002A62F9"/>
    <w:rsid w:val="002A734B"/>
    <w:rsid w:val="002A7450"/>
    <w:rsid w:val="002A7667"/>
    <w:rsid w:val="002B30FB"/>
    <w:rsid w:val="002B5B29"/>
    <w:rsid w:val="002B6676"/>
    <w:rsid w:val="002B7965"/>
    <w:rsid w:val="002C1193"/>
    <w:rsid w:val="002C1A16"/>
    <w:rsid w:val="002C248F"/>
    <w:rsid w:val="002C318A"/>
    <w:rsid w:val="002C400E"/>
    <w:rsid w:val="002C723C"/>
    <w:rsid w:val="002D13C1"/>
    <w:rsid w:val="002D1CE9"/>
    <w:rsid w:val="002D5D06"/>
    <w:rsid w:val="002D6281"/>
    <w:rsid w:val="002D7C35"/>
    <w:rsid w:val="002E1880"/>
    <w:rsid w:val="002E18AE"/>
    <w:rsid w:val="002E1A92"/>
    <w:rsid w:val="002E38E2"/>
    <w:rsid w:val="002E5D67"/>
    <w:rsid w:val="002E7223"/>
    <w:rsid w:val="002E78F4"/>
    <w:rsid w:val="002F13AC"/>
    <w:rsid w:val="002F1D74"/>
    <w:rsid w:val="002F3628"/>
    <w:rsid w:val="002F3D33"/>
    <w:rsid w:val="002F3FBD"/>
    <w:rsid w:val="002F47E7"/>
    <w:rsid w:val="002F4E1A"/>
    <w:rsid w:val="002F626F"/>
    <w:rsid w:val="002F6A75"/>
    <w:rsid w:val="00301DA4"/>
    <w:rsid w:val="00305A87"/>
    <w:rsid w:val="0031180E"/>
    <w:rsid w:val="0031224F"/>
    <w:rsid w:val="00312543"/>
    <w:rsid w:val="0031356C"/>
    <w:rsid w:val="00313679"/>
    <w:rsid w:val="00313B4D"/>
    <w:rsid w:val="00315796"/>
    <w:rsid w:val="00320832"/>
    <w:rsid w:val="00321132"/>
    <w:rsid w:val="00321C88"/>
    <w:rsid w:val="00322AB8"/>
    <w:rsid w:val="00322EE5"/>
    <w:rsid w:val="00323569"/>
    <w:rsid w:val="003251C8"/>
    <w:rsid w:val="0033103B"/>
    <w:rsid w:val="00332F8D"/>
    <w:rsid w:val="0034030D"/>
    <w:rsid w:val="00340B3F"/>
    <w:rsid w:val="0034192F"/>
    <w:rsid w:val="00341AA5"/>
    <w:rsid w:val="003425DB"/>
    <w:rsid w:val="00345298"/>
    <w:rsid w:val="003455FB"/>
    <w:rsid w:val="00351B9E"/>
    <w:rsid w:val="00353130"/>
    <w:rsid w:val="0035338D"/>
    <w:rsid w:val="00353D0D"/>
    <w:rsid w:val="00353DE9"/>
    <w:rsid w:val="003571FF"/>
    <w:rsid w:val="00357392"/>
    <w:rsid w:val="00357F78"/>
    <w:rsid w:val="0036325C"/>
    <w:rsid w:val="00363E7A"/>
    <w:rsid w:val="003700DF"/>
    <w:rsid w:val="003714AB"/>
    <w:rsid w:val="00373BDF"/>
    <w:rsid w:val="00380137"/>
    <w:rsid w:val="00380F95"/>
    <w:rsid w:val="00381132"/>
    <w:rsid w:val="003824A2"/>
    <w:rsid w:val="00383012"/>
    <w:rsid w:val="00386789"/>
    <w:rsid w:val="003903CB"/>
    <w:rsid w:val="00390B8B"/>
    <w:rsid w:val="00393D90"/>
    <w:rsid w:val="00394737"/>
    <w:rsid w:val="00395557"/>
    <w:rsid w:val="003A0751"/>
    <w:rsid w:val="003A2FCC"/>
    <w:rsid w:val="003A30C2"/>
    <w:rsid w:val="003A385D"/>
    <w:rsid w:val="003A524C"/>
    <w:rsid w:val="003A63EF"/>
    <w:rsid w:val="003A6511"/>
    <w:rsid w:val="003A665F"/>
    <w:rsid w:val="003A66BC"/>
    <w:rsid w:val="003B0480"/>
    <w:rsid w:val="003B109E"/>
    <w:rsid w:val="003B1FC1"/>
    <w:rsid w:val="003B31C2"/>
    <w:rsid w:val="003B3488"/>
    <w:rsid w:val="003B4FA6"/>
    <w:rsid w:val="003C0A0B"/>
    <w:rsid w:val="003C1407"/>
    <w:rsid w:val="003C18A6"/>
    <w:rsid w:val="003C5454"/>
    <w:rsid w:val="003D01B6"/>
    <w:rsid w:val="003D182A"/>
    <w:rsid w:val="003D36D4"/>
    <w:rsid w:val="003D4FFD"/>
    <w:rsid w:val="003D6AF6"/>
    <w:rsid w:val="003D784C"/>
    <w:rsid w:val="003E1CAE"/>
    <w:rsid w:val="003E2835"/>
    <w:rsid w:val="003E2ECE"/>
    <w:rsid w:val="003E48DD"/>
    <w:rsid w:val="003E5F87"/>
    <w:rsid w:val="003E6024"/>
    <w:rsid w:val="003F066A"/>
    <w:rsid w:val="003F2BFF"/>
    <w:rsid w:val="003F36A7"/>
    <w:rsid w:val="003F6FD9"/>
    <w:rsid w:val="003F762C"/>
    <w:rsid w:val="0040099C"/>
    <w:rsid w:val="0040316D"/>
    <w:rsid w:val="0040370D"/>
    <w:rsid w:val="00403790"/>
    <w:rsid w:val="0040398C"/>
    <w:rsid w:val="00407BA9"/>
    <w:rsid w:val="004132C9"/>
    <w:rsid w:val="00413541"/>
    <w:rsid w:val="004148C7"/>
    <w:rsid w:val="00415E4A"/>
    <w:rsid w:val="004178A7"/>
    <w:rsid w:val="00417F53"/>
    <w:rsid w:val="0043278C"/>
    <w:rsid w:val="004355DF"/>
    <w:rsid w:val="0043565A"/>
    <w:rsid w:val="00435C1D"/>
    <w:rsid w:val="00436CD7"/>
    <w:rsid w:val="00436E2A"/>
    <w:rsid w:val="004418F2"/>
    <w:rsid w:val="00441D04"/>
    <w:rsid w:val="0044222B"/>
    <w:rsid w:val="004424A6"/>
    <w:rsid w:val="00443043"/>
    <w:rsid w:val="00446A3B"/>
    <w:rsid w:val="00452C55"/>
    <w:rsid w:val="0045369B"/>
    <w:rsid w:val="004547D1"/>
    <w:rsid w:val="00456625"/>
    <w:rsid w:val="004568F5"/>
    <w:rsid w:val="004607CD"/>
    <w:rsid w:val="00460C84"/>
    <w:rsid w:val="00466DAC"/>
    <w:rsid w:val="004704EA"/>
    <w:rsid w:val="00471005"/>
    <w:rsid w:val="0047148A"/>
    <w:rsid w:val="004714C0"/>
    <w:rsid w:val="004732DD"/>
    <w:rsid w:val="004756BD"/>
    <w:rsid w:val="004767D6"/>
    <w:rsid w:val="00476848"/>
    <w:rsid w:val="00476CA6"/>
    <w:rsid w:val="00481F6F"/>
    <w:rsid w:val="00482D8A"/>
    <w:rsid w:val="00484AB5"/>
    <w:rsid w:val="00485A75"/>
    <w:rsid w:val="00486BA4"/>
    <w:rsid w:val="00492F99"/>
    <w:rsid w:val="004944A7"/>
    <w:rsid w:val="00494883"/>
    <w:rsid w:val="00494AE4"/>
    <w:rsid w:val="004953D2"/>
    <w:rsid w:val="00497B98"/>
    <w:rsid w:val="004A2C25"/>
    <w:rsid w:val="004A367E"/>
    <w:rsid w:val="004A596C"/>
    <w:rsid w:val="004A671F"/>
    <w:rsid w:val="004A7BB6"/>
    <w:rsid w:val="004B018F"/>
    <w:rsid w:val="004B5656"/>
    <w:rsid w:val="004B583D"/>
    <w:rsid w:val="004B746E"/>
    <w:rsid w:val="004C2317"/>
    <w:rsid w:val="004C274D"/>
    <w:rsid w:val="004C3666"/>
    <w:rsid w:val="004C48D4"/>
    <w:rsid w:val="004C4DAF"/>
    <w:rsid w:val="004C604D"/>
    <w:rsid w:val="004C7710"/>
    <w:rsid w:val="004D005E"/>
    <w:rsid w:val="004D076A"/>
    <w:rsid w:val="004D1012"/>
    <w:rsid w:val="004D590A"/>
    <w:rsid w:val="004D7566"/>
    <w:rsid w:val="004D76A3"/>
    <w:rsid w:val="004E6C6B"/>
    <w:rsid w:val="004E7E84"/>
    <w:rsid w:val="004F021D"/>
    <w:rsid w:val="004F24F0"/>
    <w:rsid w:val="004F2DF2"/>
    <w:rsid w:val="004F3C07"/>
    <w:rsid w:val="004F4E6D"/>
    <w:rsid w:val="004F5CDF"/>
    <w:rsid w:val="004F74AF"/>
    <w:rsid w:val="00500BCE"/>
    <w:rsid w:val="00504F19"/>
    <w:rsid w:val="00505332"/>
    <w:rsid w:val="0050756C"/>
    <w:rsid w:val="00510948"/>
    <w:rsid w:val="00514BB9"/>
    <w:rsid w:val="00515B7B"/>
    <w:rsid w:val="0052054C"/>
    <w:rsid w:val="005212EB"/>
    <w:rsid w:val="005229ED"/>
    <w:rsid w:val="00522A94"/>
    <w:rsid w:val="0052387E"/>
    <w:rsid w:val="00527335"/>
    <w:rsid w:val="0053633A"/>
    <w:rsid w:val="005373CB"/>
    <w:rsid w:val="00537528"/>
    <w:rsid w:val="005377A6"/>
    <w:rsid w:val="00537937"/>
    <w:rsid w:val="00537E6E"/>
    <w:rsid w:val="0054124E"/>
    <w:rsid w:val="00541900"/>
    <w:rsid w:val="005437BD"/>
    <w:rsid w:val="0054474E"/>
    <w:rsid w:val="00546395"/>
    <w:rsid w:val="00547551"/>
    <w:rsid w:val="005478AA"/>
    <w:rsid w:val="00552EAA"/>
    <w:rsid w:val="00553D42"/>
    <w:rsid w:val="00554031"/>
    <w:rsid w:val="00555466"/>
    <w:rsid w:val="00557050"/>
    <w:rsid w:val="00557CCB"/>
    <w:rsid w:val="00560397"/>
    <w:rsid w:val="00561956"/>
    <w:rsid w:val="00561F2A"/>
    <w:rsid w:val="005625B0"/>
    <w:rsid w:val="005633CC"/>
    <w:rsid w:val="005635A2"/>
    <w:rsid w:val="00564906"/>
    <w:rsid w:val="00564DCC"/>
    <w:rsid w:val="00567A6F"/>
    <w:rsid w:val="00573C41"/>
    <w:rsid w:val="00573DDE"/>
    <w:rsid w:val="005758B4"/>
    <w:rsid w:val="00576141"/>
    <w:rsid w:val="00580D04"/>
    <w:rsid w:val="005811E3"/>
    <w:rsid w:val="005815F6"/>
    <w:rsid w:val="005816A3"/>
    <w:rsid w:val="005820A0"/>
    <w:rsid w:val="00585F7F"/>
    <w:rsid w:val="00585FB0"/>
    <w:rsid w:val="00586899"/>
    <w:rsid w:val="00586B9E"/>
    <w:rsid w:val="005924CE"/>
    <w:rsid w:val="005962C8"/>
    <w:rsid w:val="005A1069"/>
    <w:rsid w:val="005A2E24"/>
    <w:rsid w:val="005A3F0C"/>
    <w:rsid w:val="005A4A7E"/>
    <w:rsid w:val="005A708B"/>
    <w:rsid w:val="005B21CA"/>
    <w:rsid w:val="005B2763"/>
    <w:rsid w:val="005B2DA6"/>
    <w:rsid w:val="005B3063"/>
    <w:rsid w:val="005B373E"/>
    <w:rsid w:val="005C060E"/>
    <w:rsid w:val="005C1100"/>
    <w:rsid w:val="005C12FA"/>
    <w:rsid w:val="005C23A3"/>
    <w:rsid w:val="005C26D4"/>
    <w:rsid w:val="005C461D"/>
    <w:rsid w:val="005C6E2D"/>
    <w:rsid w:val="005C7897"/>
    <w:rsid w:val="005D274E"/>
    <w:rsid w:val="005D440A"/>
    <w:rsid w:val="005D54CB"/>
    <w:rsid w:val="005D7DE3"/>
    <w:rsid w:val="005D7F88"/>
    <w:rsid w:val="005E0B24"/>
    <w:rsid w:val="005E15F8"/>
    <w:rsid w:val="005E20AF"/>
    <w:rsid w:val="005E22B7"/>
    <w:rsid w:val="005E3DD4"/>
    <w:rsid w:val="005E48B7"/>
    <w:rsid w:val="005E5CC0"/>
    <w:rsid w:val="005E70E1"/>
    <w:rsid w:val="005F2AD7"/>
    <w:rsid w:val="005F35FF"/>
    <w:rsid w:val="005F585F"/>
    <w:rsid w:val="005F6CC2"/>
    <w:rsid w:val="006022F4"/>
    <w:rsid w:val="00604063"/>
    <w:rsid w:val="00604600"/>
    <w:rsid w:val="00605FEA"/>
    <w:rsid w:val="006103E3"/>
    <w:rsid w:val="0061371B"/>
    <w:rsid w:val="00614B55"/>
    <w:rsid w:val="00615EDA"/>
    <w:rsid w:val="00617EC2"/>
    <w:rsid w:val="006210BA"/>
    <w:rsid w:val="00621B9F"/>
    <w:rsid w:val="00622346"/>
    <w:rsid w:val="006224A1"/>
    <w:rsid w:val="00625296"/>
    <w:rsid w:val="00625489"/>
    <w:rsid w:val="00626DFA"/>
    <w:rsid w:val="0062750E"/>
    <w:rsid w:val="0063282E"/>
    <w:rsid w:val="00633365"/>
    <w:rsid w:val="0063457F"/>
    <w:rsid w:val="00634B6C"/>
    <w:rsid w:val="00635412"/>
    <w:rsid w:val="00635EAC"/>
    <w:rsid w:val="0063723B"/>
    <w:rsid w:val="00637240"/>
    <w:rsid w:val="00641E40"/>
    <w:rsid w:val="00643117"/>
    <w:rsid w:val="0064353E"/>
    <w:rsid w:val="00643A98"/>
    <w:rsid w:val="0064618E"/>
    <w:rsid w:val="006463B4"/>
    <w:rsid w:val="00647849"/>
    <w:rsid w:val="00647D66"/>
    <w:rsid w:val="00650BAB"/>
    <w:rsid w:val="00652540"/>
    <w:rsid w:val="00653E96"/>
    <w:rsid w:val="00654526"/>
    <w:rsid w:val="00655F75"/>
    <w:rsid w:val="00665EEA"/>
    <w:rsid w:val="006661CD"/>
    <w:rsid w:val="00671285"/>
    <w:rsid w:val="006713A5"/>
    <w:rsid w:val="00677AB4"/>
    <w:rsid w:val="00682A5A"/>
    <w:rsid w:val="00682D71"/>
    <w:rsid w:val="0068607C"/>
    <w:rsid w:val="006866C0"/>
    <w:rsid w:val="006866D8"/>
    <w:rsid w:val="00687071"/>
    <w:rsid w:val="00687C39"/>
    <w:rsid w:val="006900F8"/>
    <w:rsid w:val="00690ED3"/>
    <w:rsid w:val="006914BF"/>
    <w:rsid w:val="00692C01"/>
    <w:rsid w:val="00693242"/>
    <w:rsid w:val="0069347A"/>
    <w:rsid w:val="006937A4"/>
    <w:rsid w:val="00696FCF"/>
    <w:rsid w:val="006A0C84"/>
    <w:rsid w:val="006A0F50"/>
    <w:rsid w:val="006A107D"/>
    <w:rsid w:val="006A17E9"/>
    <w:rsid w:val="006A25B2"/>
    <w:rsid w:val="006A3EFC"/>
    <w:rsid w:val="006A41A3"/>
    <w:rsid w:val="006A467C"/>
    <w:rsid w:val="006A4FA3"/>
    <w:rsid w:val="006A50FA"/>
    <w:rsid w:val="006A54CC"/>
    <w:rsid w:val="006B5E00"/>
    <w:rsid w:val="006B645F"/>
    <w:rsid w:val="006B6795"/>
    <w:rsid w:val="006C399E"/>
    <w:rsid w:val="006C3EFC"/>
    <w:rsid w:val="006C5558"/>
    <w:rsid w:val="006C6E56"/>
    <w:rsid w:val="006D0046"/>
    <w:rsid w:val="006D1769"/>
    <w:rsid w:val="006D1CB9"/>
    <w:rsid w:val="006D7E8F"/>
    <w:rsid w:val="006E072E"/>
    <w:rsid w:val="006E0A88"/>
    <w:rsid w:val="006E2F50"/>
    <w:rsid w:val="006E327F"/>
    <w:rsid w:val="006E4E29"/>
    <w:rsid w:val="006E5E26"/>
    <w:rsid w:val="006E615E"/>
    <w:rsid w:val="006E7EB9"/>
    <w:rsid w:val="006F0821"/>
    <w:rsid w:val="006F61D8"/>
    <w:rsid w:val="006F794B"/>
    <w:rsid w:val="00700E0A"/>
    <w:rsid w:val="00702125"/>
    <w:rsid w:val="00702749"/>
    <w:rsid w:val="00702A13"/>
    <w:rsid w:val="00705677"/>
    <w:rsid w:val="007100E1"/>
    <w:rsid w:val="007113FA"/>
    <w:rsid w:val="007124AC"/>
    <w:rsid w:val="00716068"/>
    <w:rsid w:val="00720C12"/>
    <w:rsid w:val="00721765"/>
    <w:rsid w:val="00722CFD"/>
    <w:rsid w:val="00722E7C"/>
    <w:rsid w:val="00723976"/>
    <w:rsid w:val="00724861"/>
    <w:rsid w:val="00724DA7"/>
    <w:rsid w:val="00726BEE"/>
    <w:rsid w:val="007301DA"/>
    <w:rsid w:val="00730720"/>
    <w:rsid w:val="00732183"/>
    <w:rsid w:val="007344A5"/>
    <w:rsid w:val="00734546"/>
    <w:rsid w:val="00735352"/>
    <w:rsid w:val="0073787E"/>
    <w:rsid w:val="00740A33"/>
    <w:rsid w:val="00741640"/>
    <w:rsid w:val="00741CEF"/>
    <w:rsid w:val="00742F08"/>
    <w:rsid w:val="00745851"/>
    <w:rsid w:val="0074609F"/>
    <w:rsid w:val="00746599"/>
    <w:rsid w:val="00747259"/>
    <w:rsid w:val="0074732B"/>
    <w:rsid w:val="00750347"/>
    <w:rsid w:val="00750F88"/>
    <w:rsid w:val="007520E3"/>
    <w:rsid w:val="00752428"/>
    <w:rsid w:val="00757578"/>
    <w:rsid w:val="00757A41"/>
    <w:rsid w:val="00761270"/>
    <w:rsid w:val="00761AE0"/>
    <w:rsid w:val="00766361"/>
    <w:rsid w:val="00766ED0"/>
    <w:rsid w:val="00767663"/>
    <w:rsid w:val="00767B5B"/>
    <w:rsid w:val="00770EA6"/>
    <w:rsid w:val="007713FC"/>
    <w:rsid w:val="00771417"/>
    <w:rsid w:val="00771950"/>
    <w:rsid w:val="00771DA2"/>
    <w:rsid w:val="007731F8"/>
    <w:rsid w:val="0077575A"/>
    <w:rsid w:val="00775998"/>
    <w:rsid w:val="0077644D"/>
    <w:rsid w:val="00776D04"/>
    <w:rsid w:val="00777E77"/>
    <w:rsid w:val="0078036B"/>
    <w:rsid w:val="0078060B"/>
    <w:rsid w:val="00780C3C"/>
    <w:rsid w:val="00780C3E"/>
    <w:rsid w:val="007833CD"/>
    <w:rsid w:val="00783F2A"/>
    <w:rsid w:val="00786B72"/>
    <w:rsid w:val="00786C05"/>
    <w:rsid w:val="007872F0"/>
    <w:rsid w:val="007872F6"/>
    <w:rsid w:val="00793CFA"/>
    <w:rsid w:val="0079569A"/>
    <w:rsid w:val="007956E1"/>
    <w:rsid w:val="00795754"/>
    <w:rsid w:val="00795F22"/>
    <w:rsid w:val="00796FEC"/>
    <w:rsid w:val="007A0266"/>
    <w:rsid w:val="007A1A1F"/>
    <w:rsid w:val="007A214C"/>
    <w:rsid w:val="007A3871"/>
    <w:rsid w:val="007A5186"/>
    <w:rsid w:val="007A5F90"/>
    <w:rsid w:val="007B2854"/>
    <w:rsid w:val="007B2FF0"/>
    <w:rsid w:val="007B3399"/>
    <w:rsid w:val="007B5020"/>
    <w:rsid w:val="007B53AD"/>
    <w:rsid w:val="007B5FA7"/>
    <w:rsid w:val="007B678B"/>
    <w:rsid w:val="007B791A"/>
    <w:rsid w:val="007C04C9"/>
    <w:rsid w:val="007C15A0"/>
    <w:rsid w:val="007C4FAC"/>
    <w:rsid w:val="007C6824"/>
    <w:rsid w:val="007C6F5F"/>
    <w:rsid w:val="007C78F5"/>
    <w:rsid w:val="007D081F"/>
    <w:rsid w:val="007D205E"/>
    <w:rsid w:val="007D3AC2"/>
    <w:rsid w:val="007D3EFB"/>
    <w:rsid w:val="007D6000"/>
    <w:rsid w:val="007D62C4"/>
    <w:rsid w:val="007E3CEE"/>
    <w:rsid w:val="007E6402"/>
    <w:rsid w:val="007E65C8"/>
    <w:rsid w:val="007E6677"/>
    <w:rsid w:val="007E7A46"/>
    <w:rsid w:val="007F1067"/>
    <w:rsid w:val="007F131D"/>
    <w:rsid w:val="007F1A26"/>
    <w:rsid w:val="007F3B3A"/>
    <w:rsid w:val="007F4712"/>
    <w:rsid w:val="007F506A"/>
    <w:rsid w:val="007F7ADB"/>
    <w:rsid w:val="00800341"/>
    <w:rsid w:val="00801915"/>
    <w:rsid w:val="00804EDF"/>
    <w:rsid w:val="00806E81"/>
    <w:rsid w:val="00807826"/>
    <w:rsid w:val="00807838"/>
    <w:rsid w:val="00807A1C"/>
    <w:rsid w:val="00807B39"/>
    <w:rsid w:val="0081180E"/>
    <w:rsid w:val="008137E8"/>
    <w:rsid w:val="00815E7F"/>
    <w:rsid w:val="00815FDC"/>
    <w:rsid w:val="00817CAB"/>
    <w:rsid w:val="008203EE"/>
    <w:rsid w:val="00820B06"/>
    <w:rsid w:val="00822C17"/>
    <w:rsid w:val="00824FC8"/>
    <w:rsid w:val="008261DF"/>
    <w:rsid w:val="00826221"/>
    <w:rsid w:val="00833A37"/>
    <w:rsid w:val="008350B1"/>
    <w:rsid w:val="00835207"/>
    <w:rsid w:val="0083578F"/>
    <w:rsid w:val="00835A08"/>
    <w:rsid w:val="00836824"/>
    <w:rsid w:val="008373E3"/>
    <w:rsid w:val="00837AD6"/>
    <w:rsid w:val="0084293F"/>
    <w:rsid w:val="008431B7"/>
    <w:rsid w:val="00843D30"/>
    <w:rsid w:val="00843E09"/>
    <w:rsid w:val="00844DEA"/>
    <w:rsid w:val="00846632"/>
    <w:rsid w:val="008468F4"/>
    <w:rsid w:val="00851735"/>
    <w:rsid w:val="0085208A"/>
    <w:rsid w:val="0085357F"/>
    <w:rsid w:val="008536B2"/>
    <w:rsid w:val="00853DD1"/>
    <w:rsid w:val="00854272"/>
    <w:rsid w:val="00855CE8"/>
    <w:rsid w:val="00860FD0"/>
    <w:rsid w:val="00861816"/>
    <w:rsid w:val="00864659"/>
    <w:rsid w:val="0086528B"/>
    <w:rsid w:val="00871031"/>
    <w:rsid w:val="0087346A"/>
    <w:rsid w:val="008739CC"/>
    <w:rsid w:val="00873EA7"/>
    <w:rsid w:val="00874C8E"/>
    <w:rsid w:val="00876E03"/>
    <w:rsid w:val="00881CC1"/>
    <w:rsid w:val="00882945"/>
    <w:rsid w:val="008829D5"/>
    <w:rsid w:val="00887004"/>
    <w:rsid w:val="00887B97"/>
    <w:rsid w:val="008949A3"/>
    <w:rsid w:val="00894AA0"/>
    <w:rsid w:val="00894DC9"/>
    <w:rsid w:val="00897A5C"/>
    <w:rsid w:val="008A013D"/>
    <w:rsid w:val="008A0D85"/>
    <w:rsid w:val="008A1640"/>
    <w:rsid w:val="008A42F3"/>
    <w:rsid w:val="008B1E01"/>
    <w:rsid w:val="008B204B"/>
    <w:rsid w:val="008B3AB1"/>
    <w:rsid w:val="008B4516"/>
    <w:rsid w:val="008B456F"/>
    <w:rsid w:val="008B6EB8"/>
    <w:rsid w:val="008B7AAC"/>
    <w:rsid w:val="008C0BDD"/>
    <w:rsid w:val="008C7C2E"/>
    <w:rsid w:val="008D12B9"/>
    <w:rsid w:val="008D1A15"/>
    <w:rsid w:val="008D4303"/>
    <w:rsid w:val="008D435A"/>
    <w:rsid w:val="008E244A"/>
    <w:rsid w:val="008E43A8"/>
    <w:rsid w:val="008E6320"/>
    <w:rsid w:val="008E64FA"/>
    <w:rsid w:val="008E666A"/>
    <w:rsid w:val="008E71FA"/>
    <w:rsid w:val="008E7D0A"/>
    <w:rsid w:val="008E7F01"/>
    <w:rsid w:val="008F10B5"/>
    <w:rsid w:val="008F21C7"/>
    <w:rsid w:val="008F2DBE"/>
    <w:rsid w:val="008F47D4"/>
    <w:rsid w:val="008F5BE3"/>
    <w:rsid w:val="008F7027"/>
    <w:rsid w:val="008F7AB7"/>
    <w:rsid w:val="00904848"/>
    <w:rsid w:val="009065BC"/>
    <w:rsid w:val="00906B8B"/>
    <w:rsid w:val="00910663"/>
    <w:rsid w:val="00911020"/>
    <w:rsid w:val="0091129A"/>
    <w:rsid w:val="00911B9C"/>
    <w:rsid w:val="00912037"/>
    <w:rsid w:val="00912B69"/>
    <w:rsid w:val="00914DA2"/>
    <w:rsid w:val="00915EAC"/>
    <w:rsid w:val="00916C98"/>
    <w:rsid w:val="00916DC3"/>
    <w:rsid w:val="00917301"/>
    <w:rsid w:val="009205FD"/>
    <w:rsid w:val="00921170"/>
    <w:rsid w:val="00922DD7"/>
    <w:rsid w:val="00924EC2"/>
    <w:rsid w:val="0092611F"/>
    <w:rsid w:val="0093169B"/>
    <w:rsid w:val="00932699"/>
    <w:rsid w:val="009379EA"/>
    <w:rsid w:val="00941BC7"/>
    <w:rsid w:val="0094231D"/>
    <w:rsid w:val="00942CB7"/>
    <w:rsid w:val="0094310A"/>
    <w:rsid w:val="0094330B"/>
    <w:rsid w:val="00944586"/>
    <w:rsid w:val="00945171"/>
    <w:rsid w:val="0094546E"/>
    <w:rsid w:val="00945DDE"/>
    <w:rsid w:val="00950649"/>
    <w:rsid w:val="00950F1D"/>
    <w:rsid w:val="00952758"/>
    <w:rsid w:val="00954B58"/>
    <w:rsid w:val="00954E6D"/>
    <w:rsid w:val="00954FCC"/>
    <w:rsid w:val="009551BC"/>
    <w:rsid w:val="00967FC0"/>
    <w:rsid w:val="0097401A"/>
    <w:rsid w:val="009766B8"/>
    <w:rsid w:val="00976A1B"/>
    <w:rsid w:val="00983DBC"/>
    <w:rsid w:val="009844B4"/>
    <w:rsid w:val="009846D8"/>
    <w:rsid w:val="009855BF"/>
    <w:rsid w:val="00986646"/>
    <w:rsid w:val="00986ACA"/>
    <w:rsid w:val="00995311"/>
    <w:rsid w:val="009963E8"/>
    <w:rsid w:val="00996AC6"/>
    <w:rsid w:val="0099708D"/>
    <w:rsid w:val="009A006F"/>
    <w:rsid w:val="009A5545"/>
    <w:rsid w:val="009A6029"/>
    <w:rsid w:val="009B0406"/>
    <w:rsid w:val="009B2B5D"/>
    <w:rsid w:val="009B6421"/>
    <w:rsid w:val="009B6F40"/>
    <w:rsid w:val="009C2D9A"/>
    <w:rsid w:val="009C464E"/>
    <w:rsid w:val="009C4E8D"/>
    <w:rsid w:val="009C6E5F"/>
    <w:rsid w:val="009D0EA0"/>
    <w:rsid w:val="009D1B6E"/>
    <w:rsid w:val="009D2F08"/>
    <w:rsid w:val="009D4802"/>
    <w:rsid w:val="009D4E36"/>
    <w:rsid w:val="009D53FB"/>
    <w:rsid w:val="009D6C11"/>
    <w:rsid w:val="009D71CD"/>
    <w:rsid w:val="009D78A9"/>
    <w:rsid w:val="009E0077"/>
    <w:rsid w:val="009E099B"/>
    <w:rsid w:val="009E0E74"/>
    <w:rsid w:val="009E2BE0"/>
    <w:rsid w:val="009E46CD"/>
    <w:rsid w:val="009E4F5C"/>
    <w:rsid w:val="009E4F81"/>
    <w:rsid w:val="009E5EC1"/>
    <w:rsid w:val="009E62B9"/>
    <w:rsid w:val="009F1B2C"/>
    <w:rsid w:val="009F1B78"/>
    <w:rsid w:val="009F269C"/>
    <w:rsid w:val="009F457A"/>
    <w:rsid w:val="009F4D5E"/>
    <w:rsid w:val="009F6BCE"/>
    <w:rsid w:val="009F75EA"/>
    <w:rsid w:val="009F7A37"/>
    <w:rsid w:val="00A00BFC"/>
    <w:rsid w:val="00A01D69"/>
    <w:rsid w:val="00A023D8"/>
    <w:rsid w:val="00A02C5E"/>
    <w:rsid w:val="00A03400"/>
    <w:rsid w:val="00A06A25"/>
    <w:rsid w:val="00A078BF"/>
    <w:rsid w:val="00A07C9C"/>
    <w:rsid w:val="00A1093A"/>
    <w:rsid w:val="00A11BBC"/>
    <w:rsid w:val="00A1326B"/>
    <w:rsid w:val="00A14C00"/>
    <w:rsid w:val="00A15D7C"/>
    <w:rsid w:val="00A163E1"/>
    <w:rsid w:val="00A179C9"/>
    <w:rsid w:val="00A20792"/>
    <w:rsid w:val="00A22B35"/>
    <w:rsid w:val="00A23782"/>
    <w:rsid w:val="00A239E7"/>
    <w:rsid w:val="00A24E5D"/>
    <w:rsid w:val="00A268CB"/>
    <w:rsid w:val="00A27CBE"/>
    <w:rsid w:val="00A27F93"/>
    <w:rsid w:val="00A27FF5"/>
    <w:rsid w:val="00A30175"/>
    <w:rsid w:val="00A32D0B"/>
    <w:rsid w:val="00A33A08"/>
    <w:rsid w:val="00A33F08"/>
    <w:rsid w:val="00A35DE1"/>
    <w:rsid w:val="00A35F46"/>
    <w:rsid w:val="00A36257"/>
    <w:rsid w:val="00A368B1"/>
    <w:rsid w:val="00A36D3E"/>
    <w:rsid w:val="00A40837"/>
    <w:rsid w:val="00A42284"/>
    <w:rsid w:val="00A43460"/>
    <w:rsid w:val="00A465BE"/>
    <w:rsid w:val="00A4796D"/>
    <w:rsid w:val="00A50595"/>
    <w:rsid w:val="00A5363B"/>
    <w:rsid w:val="00A56722"/>
    <w:rsid w:val="00A56793"/>
    <w:rsid w:val="00A56946"/>
    <w:rsid w:val="00A5761A"/>
    <w:rsid w:val="00A60AD0"/>
    <w:rsid w:val="00A63F75"/>
    <w:rsid w:val="00A70E80"/>
    <w:rsid w:val="00A72D58"/>
    <w:rsid w:val="00A802A9"/>
    <w:rsid w:val="00A80888"/>
    <w:rsid w:val="00A846D4"/>
    <w:rsid w:val="00A853BB"/>
    <w:rsid w:val="00A854F5"/>
    <w:rsid w:val="00A9174D"/>
    <w:rsid w:val="00A91A34"/>
    <w:rsid w:val="00A93625"/>
    <w:rsid w:val="00A94A2B"/>
    <w:rsid w:val="00A95B9C"/>
    <w:rsid w:val="00A976C0"/>
    <w:rsid w:val="00AA2AB0"/>
    <w:rsid w:val="00AA3FDD"/>
    <w:rsid w:val="00AA72D5"/>
    <w:rsid w:val="00AB2391"/>
    <w:rsid w:val="00AB2B90"/>
    <w:rsid w:val="00AB5EF9"/>
    <w:rsid w:val="00AB622E"/>
    <w:rsid w:val="00AC2140"/>
    <w:rsid w:val="00AC3504"/>
    <w:rsid w:val="00AC3D8E"/>
    <w:rsid w:val="00AC4C97"/>
    <w:rsid w:val="00AC59D3"/>
    <w:rsid w:val="00AC7658"/>
    <w:rsid w:val="00AD11BB"/>
    <w:rsid w:val="00AD14B0"/>
    <w:rsid w:val="00AD177A"/>
    <w:rsid w:val="00AD43F3"/>
    <w:rsid w:val="00AD5A25"/>
    <w:rsid w:val="00AD75F7"/>
    <w:rsid w:val="00AD76B8"/>
    <w:rsid w:val="00AE29A0"/>
    <w:rsid w:val="00AE35CC"/>
    <w:rsid w:val="00AE47B4"/>
    <w:rsid w:val="00AE48A1"/>
    <w:rsid w:val="00AE4A01"/>
    <w:rsid w:val="00AE4A0F"/>
    <w:rsid w:val="00AE51F8"/>
    <w:rsid w:val="00AE631D"/>
    <w:rsid w:val="00AF0DF1"/>
    <w:rsid w:val="00AF1C5B"/>
    <w:rsid w:val="00AF1CF7"/>
    <w:rsid w:val="00AF4C83"/>
    <w:rsid w:val="00AF5864"/>
    <w:rsid w:val="00AF63DE"/>
    <w:rsid w:val="00AF68E7"/>
    <w:rsid w:val="00B03236"/>
    <w:rsid w:val="00B04B5A"/>
    <w:rsid w:val="00B07E23"/>
    <w:rsid w:val="00B116BD"/>
    <w:rsid w:val="00B11E7A"/>
    <w:rsid w:val="00B14272"/>
    <w:rsid w:val="00B14F35"/>
    <w:rsid w:val="00B14F48"/>
    <w:rsid w:val="00B14FCD"/>
    <w:rsid w:val="00B15E84"/>
    <w:rsid w:val="00B20033"/>
    <w:rsid w:val="00B22D37"/>
    <w:rsid w:val="00B2318C"/>
    <w:rsid w:val="00B23527"/>
    <w:rsid w:val="00B2364B"/>
    <w:rsid w:val="00B23F51"/>
    <w:rsid w:val="00B252DD"/>
    <w:rsid w:val="00B252F9"/>
    <w:rsid w:val="00B25426"/>
    <w:rsid w:val="00B254B2"/>
    <w:rsid w:val="00B267DA"/>
    <w:rsid w:val="00B276C5"/>
    <w:rsid w:val="00B31751"/>
    <w:rsid w:val="00B338A9"/>
    <w:rsid w:val="00B34476"/>
    <w:rsid w:val="00B35F7A"/>
    <w:rsid w:val="00B377E6"/>
    <w:rsid w:val="00B378BF"/>
    <w:rsid w:val="00B41A1C"/>
    <w:rsid w:val="00B41EFA"/>
    <w:rsid w:val="00B42C10"/>
    <w:rsid w:val="00B45369"/>
    <w:rsid w:val="00B46456"/>
    <w:rsid w:val="00B46543"/>
    <w:rsid w:val="00B466FD"/>
    <w:rsid w:val="00B46F5D"/>
    <w:rsid w:val="00B47C43"/>
    <w:rsid w:val="00B52308"/>
    <w:rsid w:val="00B5284A"/>
    <w:rsid w:val="00B54D33"/>
    <w:rsid w:val="00B573DB"/>
    <w:rsid w:val="00B577F2"/>
    <w:rsid w:val="00B60078"/>
    <w:rsid w:val="00B61A99"/>
    <w:rsid w:val="00B65561"/>
    <w:rsid w:val="00B663D3"/>
    <w:rsid w:val="00B66E65"/>
    <w:rsid w:val="00B67186"/>
    <w:rsid w:val="00B67400"/>
    <w:rsid w:val="00B67B8B"/>
    <w:rsid w:val="00B74187"/>
    <w:rsid w:val="00B74AC1"/>
    <w:rsid w:val="00B8247B"/>
    <w:rsid w:val="00B82699"/>
    <w:rsid w:val="00B82B56"/>
    <w:rsid w:val="00B838FF"/>
    <w:rsid w:val="00B87548"/>
    <w:rsid w:val="00B914E1"/>
    <w:rsid w:val="00B91C32"/>
    <w:rsid w:val="00B92D32"/>
    <w:rsid w:val="00B949ED"/>
    <w:rsid w:val="00B956E8"/>
    <w:rsid w:val="00B96418"/>
    <w:rsid w:val="00B97DFD"/>
    <w:rsid w:val="00BA05B6"/>
    <w:rsid w:val="00BA0D93"/>
    <w:rsid w:val="00BA15C0"/>
    <w:rsid w:val="00BA23C3"/>
    <w:rsid w:val="00BA315D"/>
    <w:rsid w:val="00BA33DE"/>
    <w:rsid w:val="00BA362A"/>
    <w:rsid w:val="00BA4242"/>
    <w:rsid w:val="00BA4A2D"/>
    <w:rsid w:val="00BA5F54"/>
    <w:rsid w:val="00BA66D6"/>
    <w:rsid w:val="00BA678A"/>
    <w:rsid w:val="00BB002B"/>
    <w:rsid w:val="00BB195C"/>
    <w:rsid w:val="00BB250E"/>
    <w:rsid w:val="00BB265C"/>
    <w:rsid w:val="00BB2F15"/>
    <w:rsid w:val="00BB3E8B"/>
    <w:rsid w:val="00BB414B"/>
    <w:rsid w:val="00BB454F"/>
    <w:rsid w:val="00BB55D8"/>
    <w:rsid w:val="00BB5961"/>
    <w:rsid w:val="00BC070A"/>
    <w:rsid w:val="00BC4364"/>
    <w:rsid w:val="00BC5F34"/>
    <w:rsid w:val="00BC5F90"/>
    <w:rsid w:val="00BC6664"/>
    <w:rsid w:val="00BC676B"/>
    <w:rsid w:val="00BC7F76"/>
    <w:rsid w:val="00BD0D1E"/>
    <w:rsid w:val="00BD34D4"/>
    <w:rsid w:val="00BD4C09"/>
    <w:rsid w:val="00BD4C8A"/>
    <w:rsid w:val="00BD5957"/>
    <w:rsid w:val="00BD6101"/>
    <w:rsid w:val="00BD69E6"/>
    <w:rsid w:val="00BD7BDB"/>
    <w:rsid w:val="00BE04D2"/>
    <w:rsid w:val="00BE0C36"/>
    <w:rsid w:val="00BE1C9A"/>
    <w:rsid w:val="00BE67A4"/>
    <w:rsid w:val="00BE73F5"/>
    <w:rsid w:val="00BE76DC"/>
    <w:rsid w:val="00BE7E92"/>
    <w:rsid w:val="00BF316F"/>
    <w:rsid w:val="00BF47A4"/>
    <w:rsid w:val="00BF5A81"/>
    <w:rsid w:val="00C00EA8"/>
    <w:rsid w:val="00C01788"/>
    <w:rsid w:val="00C041E3"/>
    <w:rsid w:val="00C12537"/>
    <w:rsid w:val="00C12B99"/>
    <w:rsid w:val="00C15232"/>
    <w:rsid w:val="00C165DA"/>
    <w:rsid w:val="00C22A32"/>
    <w:rsid w:val="00C23ED4"/>
    <w:rsid w:val="00C24546"/>
    <w:rsid w:val="00C301B4"/>
    <w:rsid w:val="00C305D9"/>
    <w:rsid w:val="00C31FB8"/>
    <w:rsid w:val="00C3462A"/>
    <w:rsid w:val="00C36814"/>
    <w:rsid w:val="00C36951"/>
    <w:rsid w:val="00C37A3B"/>
    <w:rsid w:val="00C418E7"/>
    <w:rsid w:val="00C41D49"/>
    <w:rsid w:val="00C41F13"/>
    <w:rsid w:val="00C43043"/>
    <w:rsid w:val="00C44153"/>
    <w:rsid w:val="00C44CD2"/>
    <w:rsid w:val="00C45A2F"/>
    <w:rsid w:val="00C51830"/>
    <w:rsid w:val="00C51A16"/>
    <w:rsid w:val="00C51BC2"/>
    <w:rsid w:val="00C51FF5"/>
    <w:rsid w:val="00C528BA"/>
    <w:rsid w:val="00C52F9C"/>
    <w:rsid w:val="00C559C9"/>
    <w:rsid w:val="00C573A5"/>
    <w:rsid w:val="00C57B76"/>
    <w:rsid w:val="00C630D1"/>
    <w:rsid w:val="00C648A4"/>
    <w:rsid w:val="00C66E23"/>
    <w:rsid w:val="00C70813"/>
    <w:rsid w:val="00C71857"/>
    <w:rsid w:val="00C72FE6"/>
    <w:rsid w:val="00C7495B"/>
    <w:rsid w:val="00C749A3"/>
    <w:rsid w:val="00C751D4"/>
    <w:rsid w:val="00C768BE"/>
    <w:rsid w:val="00C76A81"/>
    <w:rsid w:val="00C805E3"/>
    <w:rsid w:val="00C816F8"/>
    <w:rsid w:val="00C845DB"/>
    <w:rsid w:val="00C86775"/>
    <w:rsid w:val="00C91112"/>
    <w:rsid w:val="00C9329D"/>
    <w:rsid w:val="00C96755"/>
    <w:rsid w:val="00C96D05"/>
    <w:rsid w:val="00CA114C"/>
    <w:rsid w:val="00CA18BE"/>
    <w:rsid w:val="00CA1CB5"/>
    <w:rsid w:val="00CA27B3"/>
    <w:rsid w:val="00CA55CE"/>
    <w:rsid w:val="00CA705E"/>
    <w:rsid w:val="00CA7142"/>
    <w:rsid w:val="00CB0452"/>
    <w:rsid w:val="00CB0ED8"/>
    <w:rsid w:val="00CB1DB7"/>
    <w:rsid w:val="00CB2635"/>
    <w:rsid w:val="00CB6292"/>
    <w:rsid w:val="00CB6946"/>
    <w:rsid w:val="00CC2BB7"/>
    <w:rsid w:val="00CD0942"/>
    <w:rsid w:val="00CD0BBC"/>
    <w:rsid w:val="00CD6FDF"/>
    <w:rsid w:val="00CD7A1E"/>
    <w:rsid w:val="00CE30F4"/>
    <w:rsid w:val="00CE5C4A"/>
    <w:rsid w:val="00CE693A"/>
    <w:rsid w:val="00CE7748"/>
    <w:rsid w:val="00CF2341"/>
    <w:rsid w:val="00CF2AE7"/>
    <w:rsid w:val="00CF3FA4"/>
    <w:rsid w:val="00CF5A62"/>
    <w:rsid w:val="00D00333"/>
    <w:rsid w:val="00D010D6"/>
    <w:rsid w:val="00D014B5"/>
    <w:rsid w:val="00D03848"/>
    <w:rsid w:val="00D04233"/>
    <w:rsid w:val="00D047AB"/>
    <w:rsid w:val="00D05E44"/>
    <w:rsid w:val="00D10242"/>
    <w:rsid w:val="00D11547"/>
    <w:rsid w:val="00D13540"/>
    <w:rsid w:val="00D13610"/>
    <w:rsid w:val="00D14C7B"/>
    <w:rsid w:val="00D15267"/>
    <w:rsid w:val="00D15BDA"/>
    <w:rsid w:val="00D174C2"/>
    <w:rsid w:val="00D1776E"/>
    <w:rsid w:val="00D2252C"/>
    <w:rsid w:val="00D25BDD"/>
    <w:rsid w:val="00D25DC6"/>
    <w:rsid w:val="00D263A1"/>
    <w:rsid w:val="00D33DEF"/>
    <w:rsid w:val="00D36F39"/>
    <w:rsid w:val="00D40450"/>
    <w:rsid w:val="00D407E9"/>
    <w:rsid w:val="00D4130F"/>
    <w:rsid w:val="00D44ACA"/>
    <w:rsid w:val="00D51C69"/>
    <w:rsid w:val="00D52245"/>
    <w:rsid w:val="00D52758"/>
    <w:rsid w:val="00D56A7D"/>
    <w:rsid w:val="00D56BC4"/>
    <w:rsid w:val="00D573D6"/>
    <w:rsid w:val="00D61A52"/>
    <w:rsid w:val="00D62BD8"/>
    <w:rsid w:val="00D63D33"/>
    <w:rsid w:val="00D65A50"/>
    <w:rsid w:val="00D71464"/>
    <w:rsid w:val="00D72FE0"/>
    <w:rsid w:val="00D73BBE"/>
    <w:rsid w:val="00D74D4B"/>
    <w:rsid w:val="00D776C0"/>
    <w:rsid w:val="00D83104"/>
    <w:rsid w:val="00D839DA"/>
    <w:rsid w:val="00D85794"/>
    <w:rsid w:val="00D86167"/>
    <w:rsid w:val="00D86223"/>
    <w:rsid w:val="00D87E92"/>
    <w:rsid w:val="00D91ED8"/>
    <w:rsid w:val="00D92C3C"/>
    <w:rsid w:val="00D92D7E"/>
    <w:rsid w:val="00D93715"/>
    <w:rsid w:val="00D939D1"/>
    <w:rsid w:val="00D93CD9"/>
    <w:rsid w:val="00D94153"/>
    <w:rsid w:val="00D94BC3"/>
    <w:rsid w:val="00D9651C"/>
    <w:rsid w:val="00D96FE4"/>
    <w:rsid w:val="00D97082"/>
    <w:rsid w:val="00DA0D10"/>
    <w:rsid w:val="00DA0D73"/>
    <w:rsid w:val="00DA0DBD"/>
    <w:rsid w:val="00DA1370"/>
    <w:rsid w:val="00DA4DA2"/>
    <w:rsid w:val="00DB0695"/>
    <w:rsid w:val="00DB15D7"/>
    <w:rsid w:val="00DB2096"/>
    <w:rsid w:val="00DB2222"/>
    <w:rsid w:val="00DB26CF"/>
    <w:rsid w:val="00DB565A"/>
    <w:rsid w:val="00DB5BB7"/>
    <w:rsid w:val="00DC0349"/>
    <w:rsid w:val="00DC08FE"/>
    <w:rsid w:val="00DC12B9"/>
    <w:rsid w:val="00DC29B1"/>
    <w:rsid w:val="00DC3801"/>
    <w:rsid w:val="00DC4AB6"/>
    <w:rsid w:val="00DC4CAB"/>
    <w:rsid w:val="00DC770C"/>
    <w:rsid w:val="00DC7739"/>
    <w:rsid w:val="00DD02E8"/>
    <w:rsid w:val="00DD331A"/>
    <w:rsid w:val="00DD3E88"/>
    <w:rsid w:val="00DD73C8"/>
    <w:rsid w:val="00DD7BC0"/>
    <w:rsid w:val="00DE0559"/>
    <w:rsid w:val="00DE0A93"/>
    <w:rsid w:val="00DE3C07"/>
    <w:rsid w:val="00DE640C"/>
    <w:rsid w:val="00DF1D57"/>
    <w:rsid w:val="00DF3C38"/>
    <w:rsid w:val="00DF3F47"/>
    <w:rsid w:val="00DF3F8B"/>
    <w:rsid w:val="00DF4466"/>
    <w:rsid w:val="00DF4F9A"/>
    <w:rsid w:val="00DF5248"/>
    <w:rsid w:val="00DF52EF"/>
    <w:rsid w:val="00DF7C3E"/>
    <w:rsid w:val="00E000A0"/>
    <w:rsid w:val="00E02567"/>
    <w:rsid w:val="00E02E3F"/>
    <w:rsid w:val="00E034CA"/>
    <w:rsid w:val="00E0469F"/>
    <w:rsid w:val="00E07937"/>
    <w:rsid w:val="00E10930"/>
    <w:rsid w:val="00E10B8E"/>
    <w:rsid w:val="00E1143A"/>
    <w:rsid w:val="00E12B43"/>
    <w:rsid w:val="00E12D20"/>
    <w:rsid w:val="00E153AA"/>
    <w:rsid w:val="00E154C7"/>
    <w:rsid w:val="00E15C5F"/>
    <w:rsid w:val="00E170C1"/>
    <w:rsid w:val="00E21AF7"/>
    <w:rsid w:val="00E22D3C"/>
    <w:rsid w:val="00E2360D"/>
    <w:rsid w:val="00E237C6"/>
    <w:rsid w:val="00E25C99"/>
    <w:rsid w:val="00E27F52"/>
    <w:rsid w:val="00E300B1"/>
    <w:rsid w:val="00E33715"/>
    <w:rsid w:val="00E33BEB"/>
    <w:rsid w:val="00E33D87"/>
    <w:rsid w:val="00E34178"/>
    <w:rsid w:val="00E34DCE"/>
    <w:rsid w:val="00E358B5"/>
    <w:rsid w:val="00E40E62"/>
    <w:rsid w:val="00E44B16"/>
    <w:rsid w:val="00E50DDD"/>
    <w:rsid w:val="00E53973"/>
    <w:rsid w:val="00E57C4D"/>
    <w:rsid w:val="00E60F0A"/>
    <w:rsid w:val="00E64972"/>
    <w:rsid w:val="00E65B2A"/>
    <w:rsid w:val="00E6732C"/>
    <w:rsid w:val="00E67ACE"/>
    <w:rsid w:val="00E67BAE"/>
    <w:rsid w:val="00E67C82"/>
    <w:rsid w:val="00E702F2"/>
    <w:rsid w:val="00E70ED0"/>
    <w:rsid w:val="00E71B77"/>
    <w:rsid w:val="00E71E5E"/>
    <w:rsid w:val="00E74036"/>
    <w:rsid w:val="00E7417B"/>
    <w:rsid w:val="00E74233"/>
    <w:rsid w:val="00E74992"/>
    <w:rsid w:val="00E7624C"/>
    <w:rsid w:val="00E77818"/>
    <w:rsid w:val="00E80AC5"/>
    <w:rsid w:val="00E8141B"/>
    <w:rsid w:val="00E81F75"/>
    <w:rsid w:val="00E827FD"/>
    <w:rsid w:val="00E83A82"/>
    <w:rsid w:val="00E847B1"/>
    <w:rsid w:val="00E8548C"/>
    <w:rsid w:val="00E86312"/>
    <w:rsid w:val="00E87D62"/>
    <w:rsid w:val="00E91526"/>
    <w:rsid w:val="00E91531"/>
    <w:rsid w:val="00E92B59"/>
    <w:rsid w:val="00E93A8F"/>
    <w:rsid w:val="00E96898"/>
    <w:rsid w:val="00E97796"/>
    <w:rsid w:val="00EA054D"/>
    <w:rsid w:val="00EA0B46"/>
    <w:rsid w:val="00EA172B"/>
    <w:rsid w:val="00EA301B"/>
    <w:rsid w:val="00EA3219"/>
    <w:rsid w:val="00EA3ECA"/>
    <w:rsid w:val="00EB441B"/>
    <w:rsid w:val="00EB4B6E"/>
    <w:rsid w:val="00EB63B6"/>
    <w:rsid w:val="00EC099F"/>
    <w:rsid w:val="00EC17F4"/>
    <w:rsid w:val="00EC3A21"/>
    <w:rsid w:val="00EC4784"/>
    <w:rsid w:val="00EC5ED1"/>
    <w:rsid w:val="00EC5FA0"/>
    <w:rsid w:val="00EC71D7"/>
    <w:rsid w:val="00ED3B81"/>
    <w:rsid w:val="00ED3F34"/>
    <w:rsid w:val="00ED5BB7"/>
    <w:rsid w:val="00ED66C0"/>
    <w:rsid w:val="00ED7B7C"/>
    <w:rsid w:val="00EE1CB7"/>
    <w:rsid w:val="00EE2940"/>
    <w:rsid w:val="00EE3056"/>
    <w:rsid w:val="00EE36C6"/>
    <w:rsid w:val="00EE4EA2"/>
    <w:rsid w:val="00EE5118"/>
    <w:rsid w:val="00EE5B9B"/>
    <w:rsid w:val="00EF0A45"/>
    <w:rsid w:val="00EF0D9A"/>
    <w:rsid w:val="00EF3901"/>
    <w:rsid w:val="00F01EC0"/>
    <w:rsid w:val="00F0206C"/>
    <w:rsid w:val="00F0287A"/>
    <w:rsid w:val="00F0477A"/>
    <w:rsid w:val="00F047BC"/>
    <w:rsid w:val="00F04C66"/>
    <w:rsid w:val="00F05A64"/>
    <w:rsid w:val="00F1187B"/>
    <w:rsid w:val="00F11BDC"/>
    <w:rsid w:val="00F12C9E"/>
    <w:rsid w:val="00F16177"/>
    <w:rsid w:val="00F20376"/>
    <w:rsid w:val="00F21018"/>
    <w:rsid w:val="00F22515"/>
    <w:rsid w:val="00F2359F"/>
    <w:rsid w:val="00F235D4"/>
    <w:rsid w:val="00F269D2"/>
    <w:rsid w:val="00F2797C"/>
    <w:rsid w:val="00F304D0"/>
    <w:rsid w:val="00F31CA7"/>
    <w:rsid w:val="00F323CD"/>
    <w:rsid w:val="00F3397B"/>
    <w:rsid w:val="00F34B67"/>
    <w:rsid w:val="00F37126"/>
    <w:rsid w:val="00F372E4"/>
    <w:rsid w:val="00F372F7"/>
    <w:rsid w:val="00F3730F"/>
    <w:rsid w:val="00F454A7"/>
    <w:rsid w:val="00F46EEF"/>
    <w:rsid w:val="00F53624"/>
    <w:rsid w:val="00F55243"/>
    <w:rsid w:val="00F553CD"/>
    <w:rsid w:val="00F56C22"/>
    <w:rsid w:val="00F61090"/>
    <w:rsid w:val="00F6225D"/>
    <w:rsid w:val="00F642C8"/>
    <w:rsid w:val="00F645EF"/>
    <w:rsid w:val="00F64600"/>
    <w:rsid w:val="00F64B29"/>
    <w:rsid w:val="00F65947"/>
    <w:rsid w:val="00F660A0"/>
    <w:rsid w:val="00F71BFF"/>
    <w:rsid w:val="00F72699"/>
    <w:rsid w:val="00F749FD"/>
    <w:rsid w:val="00F74F37"/>
    <w:rsid w:val="00F75210"/>
    <w:rsid w:val="00F810E1"/>
    <w:rsid w:val="00F816DF"/>
    <w:rsid w:val="00F83106"/>
    <w:rsid w:val="00F83388"/>
    <w:rsid w:val="00F8370C"/>
    <w:rsid w:val="00F84B9B"/>
    <w:rsid w:val="00F927DF"/>
    <w:rsid w:val="00F92E84"/>
    <w:rsid w:val="00F95AC9"/>
    <w:rsid w:val="00F96A7D"/>
    <w:rsid w:val="00F9714D"/>
    <w:rsid w:val="00FA13CB"/>
    <w:rsid w:val="00FA2F3B"/>
    <w:rsid w:val="00FA376C"/>
    <w:rsid w:val="00FA4BD1"/>
    <w:rsid w:val="00FA61E0"/>
    <w:rsid w:val="00FA7FB4"/>
    <w:rsid w:val="00FB111C"/>
    <w:rsid w:val="00FB446D"/>
    <w:rsid w:val="00FB4931"/>
    <w:rsid w:val="00FB520C"/>
    <w:rsid w:val="00FB5243"/>
    <w:rsid w:val="00FB5BFD"/>
    <w:rsid w:val="00FB5DED"/>
    <w:rsid w:val="00FB6592"/>
    <w:rsid w:val="00FB67F9"/>
    <w:rsid w:val="00FB6CBC"/>
    <w:rsid w:val="00FB71B8"/>
    <w:rsid w:val="00FB7981"/>
    <w:rsid w:val="00FC2E1C"/>
    <w:rsid w:val="00FC53EA"/>
    <w:rsid w:val="00FC5993"/>
    <w:rsid w:val="00FC7E26"/>
    <w:rsid w:val="00FC7F83"/>
    <w:rsid w:val="00FD1CDD"/>
    <w:rsid w:val="00FD5FE3"/>
    <w:rsid w:val="00FD668E"/>
    <w:rsid w:val="00FE264E"/>
    <w:rsid w:val="00FE2A2F"/>
    <w:rsid w:val="00FE74B2"/>
    <w:rsid w:val="00FE7FB0"/>
    <w:rsid w:val="00FF0C31"/>
    <w:rsid w:val="00FF3649"/>
    <w:rsid w:val="00FF441E"/>
    <w:rsid w:val="00FF485A"/>
    <w:rsid w:val="00FF5101"/>
    <w:rsid w:val="00FF79F8"/>
    <w:rsid w:val="0F746AFF"/>
    <w:rsid w:val="18266E3C"/>
    <w:rsid w:val="1B948DE0"/>
    <w:rsid w:val="1CC0A7E0"/>
    <w:rsid w:val="370F03FF"/>
    <w:rsid w:val="39CCF25A"/>
    <w:rsid w:val="3B68C2BB"/>
    <w:rsid w:val="41E89053"/>
    <w:rsid w:val="51F6158F"/>
    <w:rsid w:val="5D7D870F"/>
    <w:rsid w:val="5EBB703A"/>
    <w:rsid w:val="6B9D91AB"/>
    <w:rsid w:val="778E620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99"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nhideWhenUsed="0" w:uiPriority="58" w:semiHidden="0" w:name="footnote text"/>
    <w:lsdException w:uiPriority="99" w:semiHidden="0" w:name="annotation text"/>
    <w:lsdException w:qFormat="1" w:unhideWhenUsed="0" w:uiPriority="99" w:semiHidden="0" w:name="header"/>
    <w:lsdException w:qFormat="1" w:unhideWhenUsed="0" w:uiPriority="58" w:semiHidden="0" w:name="footer"/>
    <w:lsdException w:uiPriority="99" w:name="index heading"/>
    <w:lsdException w:qFormat="1" w:unhideWhenUsed="0"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2" w:semiHidden="0" w:name="List Bullet"/>
    <w:lsdException w:qFormat="1" w:unhideWhenUsed="0" w:uiPriority="2" w:semiHidden="0" w:name="List Number"/>
    <w:lsdException w:uiPriority="99" w:name="List 2"/>
    <w:lsdException w:uiPriority="99" w:name="List 3"/>
    <w:lsdException w:uiPriority="99" w:name="List 4"/>
    <w:lsdException w:uiPriority="99" w:name="List 5"/>
    <w:lsdException w:qFormat="1" w:unhideWhenUsed="0" w:uiPriority="2" w:semiHidden="0" w:name="List Bullet 2"/>
    <w:lsdException w:qFormat="1" w:unhideWhenUsed="0" w:uiPriority="2" w:semiHidden="0" w:name="List Bullet 3"/>
    <w:lsdException w:uiPriority="99" w:name="List Bullet 4"/>
    <w:lsdException w:uiPriority="99" w:name="List Bullet 5"/>
    <w:lsdException w:qFormat="1" w:unhideWhenUsed="0" w:uiPriority="2" w:semiHidden="0" w:name="List Number 2"/>
    <w:lsdException w:qFormat="1" w:unhideWhenUsed="0" w:uiPriority="2"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2"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nhideWhenUsed="0" w:uiPriority="12"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nhideWhenUsed="0" w:uiPriority="59" w:semiHidden="0" w:name="FollowedHyperlink"/>
    <w:lsdException w:qFormat="1" w:unhideWhenUsed="0" w:uiPriority="22"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qFormat="1" w:unhideWhenUsed="0"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9"/>
    <w:pPr>
      <w:spacing w:after="200" w:line="276" w:lineRule="auto"/>
    </w:pPr>
    <w:rPr>
      <w:rFonts w:asciiTheme="minorHAnsi" w:hAnsiTheme="minorHAnsi" w:eastAsiaTheme="minorHAnsi" w:cstheme="minorBidi"/>
      <w:lang w:val="en-GB" w:eastAsia="en-US" w:bidi="ar-SA"/>
    </w:rPr>
  </w:style>
  <w:style w:type="paragraph" w:styleId="2">
    <w:name w:val="heading 1"/>
    <w:basedOn w:val="3"/>
    <w:next w:val="5"/>
    <w:link w:val="265"/>
    <w:qFormat/>
    <w:uiPriority w:val="0"/>
    <w:pPr>
      <w:numPr>
        <w:ilvl w:val="0"/>
        <w:numId w:val="1"/>
      </w:numPr>
      <w:pBdr>
        <w:bottom w:val="single" w:color="808DDE" w:themeColor="accent4" w:sz="12" w:space="1"/>
      </w:pBdr>
      <w:spacing w:before="180" w:after="120"/>
      <w:outlineLvl w:val="0"/>
    </w:pPr>
    <w:rPr>
      <w:caps/>
      <w:color w:val="002060"/>
      <w:sz w:val="28"/>
    </w:rPr>
  </w:style>
  <w:style w:type="paragraph" w:styleId="7">
    <w:name w:val="heading 2"/>
    <w:basedOn w:val="3"/>
    <w:next w:val="5"/>
    <w:link w:val="276"/>
    <w:qFormat/>
    <w:uiPriority w:val="1"/>
    <w:pPr>
      <w:pBdr>
        <w:bottom w:val="single" w:color="808DDE" w:themeColor="accent4" w:sz="4" w:space="1"/>
      </w:pBdr>
      <w:spacing w:before="240" w:after="120"/>
      <w:outlineLvl w:val="1"/>
    </w:pPr>
    <w:rPr>
      <w:rFonts w:eastAsiaTheme="majorEastAsia" w:cstheme="majorBidi"/>
      <w:b/>
      <w:bCs/>
      <w:sz w:val="24"/>
      <w:szCs w:val="24"/>
    </w:rPr>
  </w:style>
  <w:style w:type="paragraph" w:styleId="8">
    <w:name w:val="heading 3"/>
    <w:basedOn w:val="3"/>
    <w:next w:val="5"/>
    <w:link w:val="277"/>
    <w:qFormat/>
    <w:uiPriority w:val="1"/>
    <w:pPr>
      <w:spacing w:before="240" w:after="120"/>
      <w:outlineLvl w:val="2"/>
    </w:pPr>
    <w:rPr>
      <w:rFonts w:eastAsiaTheme="majorEastAsia" w:cstheme="majorBidi"/>
      <w:b/>
      <w:bCs/>
    </w:rPr>
  </w:style>
  <w:style w:type="paragraph" w:styleId="9">
    <w:name w:val="heading 4"/>
    <w:basedOn w:val="3"/>
    <w:next w:val="5"/>
    <w:link w:val="278"/>
    <w:qFormat/>
    <w:uiPriority w:val="1"/>
    <w:pPr>
      <w:spacing w:before="240"/>
      <w:outlineLvl w:val="3"/>
    </w:pPr>
    <w:rPr>
      <w:rFonts w:eastAsiaTheme="majorEastAsia" w:cstheme="majorBidi"/>
      <w:b/>
      <w:bCs/>
      <w:iCs/>
      <w:color w:val="1E9FD7" w:themeColor="accent3"/>
      <w14:textFill>
        <w14:solidFill>
          <w14:schemeClr w14:val="accent3"/>
        </w14:solidFill>
      </w14:textFill>
    </w:rPr>
  </w:style>
  <w:style w:type="paragraph" w:styleId="10">
    <w:name w:val="heading 5"/>
    <w:basedOn w:val="1"/>
    <w:next w:val="1"/>
    <w:link w:val="310"/>
    <w:semiHidden/>
    <w:qFormat/>
    <w:uiPriority w:val="9"/>
    <w:pPr>
      <w:keepNext/>
      <w:keepLines/>
      <w:spacing w:before="200" w:after="0"/>
      <w:outlineLvl w:val="4"/>
    </w:pPr>
    <w:rPr>
      <w:rFonts w:asciiTheme="majorHAnsi" w:hAnsiTheme="majorHAnsi" w:eastAsiaTheme="majorEastAsia" w:cstheme="majorBidi"/>
      <w:color w:val="00704F" w:themeColor="accent1" w:themeShade="80"/>
    </w:rPr>
  </w:style>
  <w:style w:type="paragraph" w:styleId="11">
    <w:name w:val="heading 6"/>
    <w:basedOn w:val="1"/>
    <w:next w:val="1"/>
    <w:link w:val="311"/>
    <w:semiHidden/>
    <w:unhideWhenUsed/>
    <w:qFormat/>
    <w:uiPriority w:val="9"/>
    <w:pPr>
      <w:keepNext/>
      <w:keepLines/>
      <w:spacing w:before="200" w:after="0"/>
      <w:outlineLvl w:val="5"/>
    </w:pPr>
    <w:rPr>
      <w:rFonts w:asciiTheme="majorHAnsi" w:hAnsiTheme="majorHAnsi" w:eastAsiaTheme="majorEastAsia" w:cstheme="majorBidi"/>
      <w:i/>
      <w:iCs/>
      <w:color w:val="00704F" w:themeColor="accent1" w:themeShade="80"/>
    </w:rPr>
  </w:style>
  <w:style w:type="paragraph" w:styleId="12">
    <w:name w:val="heading 7"/>
    <w:basedOn w:val="1"/>
    <w:next w:val="1"/>
    <w:link w:val="312"/>
    <w:semiHidden/>
    <w:unhideWhenUsed/>
    <w:qFormat/>
    <w:uiPriority w:val="9"/>
    <w:pPr>
      <w:keepNext/>
      <w:keepLines/>
      <w:spacing w:before="200" w:after="0"/>
      <w:outlineLvl w:val="6"/>
    </w:pPr>
    <w:rPr>
      <w:rFonts w:asciiTheme="majorHAnsi" w:hAnsiTheme="majorHAnsi" w:eastAsiaTheme="majorEastAsia" w:cstheme="majorBidi"/>
      <w:i/>
      <w:iCs/>
      <w:color w:val="2D5F97" w:themeColor="text1" w:themeTint="BF"/>
      <w14:textFill>
        <w14:solidFill>
          <w14:schemeClr w14:val="tx1">
            <w14:lumMod w14:val="75000"/>
            <w14:lumOff w14:val="25000"/>
          </w14:schemeClr>
        </w14:solidFill>
      </w14:textFill>
    </w:rPr>
  </w:style>
  <w:style w:type="paragraph" w:styleId="13">
    <w:name w:val="heading 8"/>
    <w:basedOn w:val="1"/>
    <w:next w:val="1"/>
    <w:link w:val="313"/>
    <w:semiHidden/>
    <w:unhideWhenUsed/>
    <w:qFormat/>
    <w:uiPriority w:val="9"/>
    <w:pPr>
      <w:keepNext/>
      <w:keepLines/>
      <w:spacing w:before="200" w:after="0"/>
      <w:outlineLvl w:val="7"/>
    </w:pPr>
    <w:rPr>
      <w:rFonts w:asciiTheme="majorHAnsi" w:hAnsiTheme="majorHAnsi" w:eastAsiaTheme="majorEastAsia" w:cstheme="majorBidi"/>
      <w:color w:val="2D5F97" w:themeColor="text1" w:themeTint="BF"/>
      <w14:textFill>
        <w14:solidFill>
          <w14:schemeClr w14:val="tx1">
            <w14:lumMod w14:val="75000"/>
            <w14:lumOff w14:val="25000"/>
          </w14:schemeClr>
        </w14:solidFill>
      </w14:textFill>
    </w:rPr>
  </w:style>
  <w:style w:type="paragraph" w:styleId="14">
    <w:name w:val="heading 9"/>
    <w:basedOn w:val="1"/>
    <w:next w:val="1"/>
    <w:link w:val="314"/>
    <w:semiHidden/>
    <w:unhideWhenUsed/>
    <w:qFormat/>
    <w:uiPriority w:val="9"/>
    <w:pPr>
      <w:keepNext/>
      <w:keepLines/>
      <w:spacing w:before="200" w:after="0"/>
      <w:outlineLvl w:val="8"/>
    </w:pPr>
    <w:rPr>
      <w:rFonts w:asciiTheme="majorHAnsi" w:hAnsiTheme="majorHAnsi" w:eastAsiaTheme="majorEastAsia" w:cstheme="majorBidi"/>
      <w:i/>
      <w:iCs/>
      <w:color w:val="2D5F97" w:themeColor="text1" w:themeTint="BF"/>
      <w14:textFill>
        <w14:solidFill>
          <w14:schemeClr w14:val="tx1">
            <w14:lumMod w14:val="75000"/>
            <w14:lumOff w14:val="25000"/>
          </w14:schemeClr>
        </w14:solidFill>
      </w14:textFill>
    </w:rPr>
  </w:style>
  <w:style w:type="character" w:default="1" w:styleId="15">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3">
    <w:name w:val="__Base Heading"/>
    <w:basedOn w:val="4"/>
    <w:semiHidden/>
    <w:qFormat/>
    <w:uiPriority w:val="99"/>
    <w:pPr>
      <w:keepNext/>
      <w:keepLines/>
    </w:pPr>
    <w:rPr>
      <w:rFonts w:asciiTheme="majorHAnsi" w:hAnsiTheme="majorHAnsi"/>
    </w:rPr>
  </w:style>
  <w:style w:type="paragraph" w:customStyle="1" w:styleId="4">
    <w:name w:val="___Base Style"/>
    <w:semiHidden/>
    <w:qFormat/>
    <w:uiPriority w:val="99"/>
    <w:pPr>
      <w:spacing w:after="0" w:line="276" w:lineRule="auto"/>
    </w:pPr>
    <w:rPr>
      <w:rFonts w:asciiTheme="minorHAnsi" w:hAnsiTheme="minorHAnsi" w:eastAsiaTheme="minorHAnsi" w:cstheme="minorBidi"/>
      <w:color w:val="152C46" w:themeColor="text1"/>
      <w:lang w:val="en-GB" w:eastAsia="en-US" w:bidi="ar-SA"/>
      <w14:textFill>
        <w14:solidFill>
          <w14:schemeClr w14:val="tx1"/>
        </w14:solidFill>
      </w14:textFill>
    </w:rPr>
  </w:style>
  <w:style w:type="paragraph" w:styleId="5">
    <w:name w:val="Body Text"/>
    <w:basedOn w:val="6"/>
    <w:link w:val="254"/>
    <w:qFormat/>
    <w:uiPriority w:val="2"/>
    <w:pPr>
      <w:spacing w:after="120"/>
    </w:pPr>
    <w:rPr>
      <w:sz w:val="20"/>
    </w:rPr>
  </w:style>
  <w:style w:type="paragraph" w:customStyle="1" w:styleId="6">
    <w:name w:val="__Base Text"/>
    <w:basedOn w:val="4"/>
    <w:semiHidden/>
    <w:qFormat/>
    <w:uiPriority w:val="99"/>
    <w:rPr>
      <w:sz w:val="18"/>
    </w:rPr>
  </w:style>
  <w:style w:type="paragraph" w:styleId="17">
    <w:name w:val="Balloon Text"/>
    <w:basedOn w:val="1"/>
    <w:link w:val="307"/>
    <w:semiHidden/>
    <w:unhideWhenUsed/>
    <w:qFormat/>
    <w:uiPriority w:val="99"/>
    <w:pPr>
      <w:spacing w:after="0" w:line="240" w:lineRule="auto"/>
    </w:pPr>
    <w:rPr>
      <w:rFonts w:ascii="Tahoma" w:hAnsi="Tahoma" w:cs="Tahoma"/>
      <w:sz w:val="16"/>
      <w:szCs w:val="16"/>
    </w:rPr>
  </w:style>
  <w:style w:type="paragraph" w:styleId="18">
    <w:name w:val="Block Text"/>
    <w:basedOn w:val="1"/>
    <w:semiHidden/>
    <w:unhideWhenUsed/>
    <w:uiPriority w:val="99"/>
    <w:pPr>
      <w:pBdr>
        <w:top w:val="single" w:color="00E09E" w:themeColor="accent1" w:sz="2" w:space="10"/>
        <w:left w:val="single" w:color="00E09E" w:themeColor="accent1" w:sz="2" w:space="10"/>
        <w:bottom w:val="single" w:color="00E09E" w:themeColor="accent1" w:sz="2" w:space="10"/>
        <w:right w:val="single" w:color="00E09E" w:themeColor="accent1" w:sz="2" w:space="10"/>
      </w:pBdr>
      <w:ind w:left="1152" w:right="1152"/>
    </w:pPr>
    <w:rPr>
      <w:rFonts w:eastAsiaTheme="minorEastAsia"/>
      <w:i/>
      <w:iCs/>
      <w:color w:val="00E09E" w:themeColor="accent1"/>
      <w14:textFill>
        <w14:solidFill>
          <w14:schemeClr w14:val="accent1"/>
        </w14:solidFill>
      </w14:textFill>
    </w:rPr>
  </w:style>
  <w:style w:type="paragraph" w:styleId="19">
    <w:name w:val="Body Text 2"/>
    <w:basedOn w:val="1"/>
    <w:link w:val="316"/>
    <w:semiHidden/>
    <w:unhideWhenUsed/>
    <w:uiPriority w:val="99"/>
    <w:pPr>
      <w:spacing w:after="120" w:line="480" w:lineRule="auto"/>
    </w:pPr>
  </w:style>
  <w:style w:type="paragraph" w:styleId="20">
    <w:name w:val="Body Text 3"/>
    <w:basedOn w:val="1"/>
    <w:link w:val="317"/>
    <w:semiHidden/>
    <w:unhideWhenUsed/>
    <w:uiPriority w:val="99"/>
    <w:pPr>
      <w:spacing w:after="120"/>
    </w:pPr>
    <w:rPr>
      <w:sz w:val="16"/>
      <w:szCs w:val="16"/>
    </w:rPr>
  </w:style>
  <w:style w:type="paragraph" w:styleId="21">
    <w:name w:val="Body Text First Indent"/>
    <w:basedOn w:val="5"/>
    <w:link w:val="318"/>
    <w:semiHidden/>
    <w:unhideWhenUsed/>
    <w:uiPriority w:val="99"/>
    <w:pPr>
      <w:spacing w:after="200"/>
      <w:ind w:firstLine="360"/>
    </w:pPr>
    <w:rPr>
      <w:color w:val="000000"/>
    </w:rPr>
  </w:style>
  <w:style w:type="paragraph" w:styleId="22">
    <w:name w:val="Body Text Indent"/>
    <w:basedOn w:val="1"/>
    <w:link w:val="319"/>
    <w:semiHidden/>
    <w:unhideWhenUsed/>
    <w:uiPriority w:val="99"/>
    <w:pPr>
      <w:spacing w:after="120"/>
      <w:ind w:left="283"/>
    </w:pPr>
  </w:style>
  <w:style w:type="paragraph" w:styleId="23">
    <w:name w:val="Body Text First Indent 2"/>
    <w:basedOn w:val="22"/>
    <w:link w:val="320"/>
    <w:semiHidden/>
    <w:unhideWhenUsed/>
    <w:uiPriority w:val="99"/>
    <w:pPr>
      <w:spacing w:after="200"/>
      <w:ind w:left="360" w:firstLine="360"/>
    </w:pPr>
  </w:style>
  <w:style w:type="paragraph" w:styleId="24">
    <w:name w:val="Body Text Indent 2"/>
    <w:basedOn w:val="1"/>
    <w:link w:val="321"/>
    <w:semiHidden/>
    <w:unhideWhenUsed/>
    <w:uiPriority w:val="99"/>
    <w:pPr>
      <w:spacing w:after="120" w:line="480" w:lineRule="auto"/>
      <w:ind w:left="283"/>
    </w:pPr>
  </w:style>
  <w:style w:type="paragraph" w:styleId="25">
    <w:name w:val="Body Text Indent 3"/>
    <w:basedOn w:val="1"/>
    <w:link w:val="322"/>
    <w:semiHidden/>
    <w:unhideWhenUsed/>
    <w:uiPriority w:val="99"/>
    <w:pPr>
      <w:spacing w:after="120"/>
      <w:ind w:left="283"/>
    </w:pPr>
    <w:rPr>
      <w:sz w:val="16"/>
      <w:szCs w:val="16"/>
    </w:rPr>
  </w:style>
  <w:style w:type="paragraph" w:styleId="26">
    <w:name w:val="caption"/>
    <w:basedOn w:val="1"/>
    <w:next w:val="1"/>
    <w:semiHidden/>
    <w:qFormat/>
    <w:uiPriority w:val="35"/>
    <w:pPr>
      <w:spacing w:line="240" w:lineRule="auto"/>
    </w:pPr>
    <w:rPr>
      <w:b/>
      <w:bCs/>
      <w:color w:val="00E09E" w:themeColor="accent1"/>
      <w:sz w:val="18"/>
      <w:szCs w:val="18"/>
      <w14:textFill>
        <w14:solidFill>
          <w14:schemeClr w14:val="accent1"/>
        </w14:solidFill>
      </w14:textFill>
    </w:rPr>
  </w:style>
  <w:style w:type="paragraph" w:styleId="27">
    <w:name w:val="Closing"/>
    <w:basedOn w:val="1"/>
    <w:link w:val="323"/>
    <w:semiHidden/>
    <w:unhideWhenUsed/>
    <w:uiPriority w:val="99"/>
    <w:pPr>
      <w:spacing w:after="0" w:line="240" w:lineRule="auto"/>
      <w:ind w:left="4252"/>
    </w:pPr>
  </w:style>
  <w:style w:type="character" w:styleId="28">
    <w:name w:val="annotation reference"/>
    <w:basedOn w:val="15"/>
    <w:semiHidden/>
    <w:unhideWhenUsed/>
    <w:uiPriority w:val="99"/>
    <w:rPr>
      <w:sz w:val="16"/>
      <w:szCs w:val="16"/>
    </w:rPr>
  </w:style>
  <w:style w:type="paragraph" w:styleId="29">
    <w:name w:val="annotation text"/>
    <w:basedOn w:val="1"/>
    <w:link w:val="324"/>
    <w:unhideWhenUsed/>
    <w:uiPriority w:val="99"/>
    <w:pPr>
      <w:spacing w:line="240" w:lineRule="auto"/>
    </w:pPr>
  </w:style>
  <w:style w:type="paragraph" w:styleId="30">
    <w:name w:val="annotation subject"/>
    <w:basedOn w:val="29"/>
    <w:next w:val="29"/>
    <w:link w:val="325"/>
    <w:semiHidden/>
    <w:unhideWhenUsed/>
    <w:uiPriority w:val="99"/>
    <w:rPr>
      <w:b/>
      <w:bCs/>
    </w:rPr>
  </w:style>
  <w:style w:type="paragraph" w:styleId="31">
    <w:name w:val="Date"/>
    <w:basedOn w:val="32"/>
    <w:next w:val="5"/>
    <w:link w:val="269"/>
    <w:uiPriority w:val="12"/>
    <w:pPr>
      <w:spacing w:after="0"/>
    </w:pPr>
  </w:style>
  <w:style w:type="paragraph" w:customStyle="1" w:styleId="32">
    <w:name w:val="Author"/>
    <w:basedOn w:val="6"/>
    <w:next w:val="31"/>
    <w:uiPriority w:val="12"/>
    <w:pPr>
      <w:spacing w:before="60" w:after="120" w:line="240" w:lineRule="exact"/>
    </w:pPr>
    <w:rPr>
      <w:sz w:val="22"/>
    </w:rPr>
  </w:style>
  <w:style w:type="paragraph" w:styleId="33">
    <w:name w:val="Document Map"/>
    <w:basedOn w:val="1"/>
    <w:link w:val="326"/>
    <w:semiHidden/>
    <w:unhideWhenUsed/>
    <w:uiPriority w:val="99"/>
    <w:pPr>
      <w:spacing w:after="0" w:line="240" w:lineRule="auto"/>
    </w:pPr>
    <w:rPr>
      <w:rFonts w:ascii="Tahoma" w:hAnsi="Tahoma" w:cs="Tahoma"/>
      <w:sz w:val="16"/>
      <w:szCs w:val="16"/>
    </w:rPr>
  </w:style>
  <w:style w:type="paragraph" w:styleId="34">
    <w:name w:val="E-mail Signature"/>
    <w:basedOn w:val="1"/>
    <w:link w:val="327"/>
    <w:semiHidden/>
    <w:unhideWhenUsed/>
    <w:uiPriority w:val="99"/>
    <w:pPr>
      <w:spacing w:after="0" w:line="240" w:lineRule="auto"/>
    </w:pPr>
  </w:style>
  <w:style w:type="character" w:styleId="35">
    <w:name w:val="Emphasis"/>
    <w:basedOn w:val="15"/>
    <w:qFormat/>
    <w:uiPriority w:val="20"/>
    <w:rPr>
      <w:i/>
      <w:iCs/>
    </w:rPr>
  </w:style>
  <w:style w:type="character" w:styleId="36">
    <w:name w:val="endnote reference"/>
    <w:basedOn w:val="15"/>
    <w:semiHidden/>
    <w:unhideWhenUsed/>
    <w:uiPriority w:val="99"/>
    <w:rPr>
      <w:vertAlign w:val="superscript"/>
    </w:rPr>
  </w:style>
  <w:style w:type="paragraph" w:styleId="37">
    <w:name w:val="endnote text"/>
    <w:basedOn w:val="1"/>
    <w:link w:val="328"/>
    <w:semiHidden/>
    <w:unhideWhenUsed/>
    <w:uiPriority w:val="99"/>
    <w:pPr>
      <w:spacing w:after="0" w:line="240" w:lineRule="auto"/>
    </w:pPr>
  </w:style>
  <w:style w:type="paragraph" w:styleId="38">
    <w:name w:val="envelope address"/>
    <w:basedOn w:val="1"/>
    <w:semiHidden/>
    <w:unhideWhenUsed/>
    <w:uiPriority w:val="99"/>
    <w:pPr>
      <w:framePr w:w="7920" w:h="1980" w:hRule="exact" w:hSpace="180" w:wrap="auto" w:vAnchor="margin" w:hAnchor="page" w:xAlign="center" w:yAlign="bottom"/>
      <w:spacing w:after="0" w:line="240" w:lineRule="auto"/>
      <w:ind w:left="2880"/>
    </w:pPr>
    <w:rPr>
      <w:rFonts w:asciiTheme="majorHAnsi" w:hAnsiTheme="majorHAnsi" w:eastAsiaTheme="majorEastAsia" w:cstheme="majorBidi"/>
      <w:sz w:val="24"/>
      <w:szCs w:val="24"/>
    </w:rPr>
  </w:style>
  <w:style w:type="paragraph" w:styleId="39">
    <w:name w:val="envelope return"/>
    <w:basedOn w:val="1"/>
    <w:semiHidden/>
    <w:unhideWhenUsed/>
    <w:uiPriority w:val="99"/>
    <w:pPr>
      <w:spacing w:after="0" w:line="240" w:lineRule="auto"/>
    </w:pPr>
    <w:rPr>
      <w:rFonts w:asciiTheme="majorHAnsi" w:hAnsiTheme="majorHAnsi" w:eastAsiaTheme="majorEastAsia" w:cstheme="majorBidi"/>
    </w:rPr>
  </w:style>
  <w:style w:type="character" w:styleId="40">
    <w:name w:val="FollowedHyperlink"/>
    <w:basedOn w:val="15"/>
    <w:uiPriority w:val="59"/>
    <w:rPr>
      <w:color w:val="1E9FD7"/>
      <w:u w:val="single"/>
    </w:rPr>
  </w:style>
  <w:style w:type="paragraph" w:styleId="41">
    <w:name w:val="footer"/>
    <w:basedOn w:val="42"/>
    <w:link w:val="300"/>
    <w:qFormat/>
    <w:uiPriority w:val="58"/>
    <w:pPr>
      <w:tabs>
        <w:tab w:val="left" w:pos="284"/>
      </w:tabs>
    </w:pPr>
    <w:rPr>
      <w:szCs w:val="14"/>
    </w:rPr>
  </w:style>
  <w:style w:type="paragraph" w:styleId="42">
    <w:name w:val="header"/>
    <w:basedOn w:val="6"/>
    <w:link w:val="299"/>
    <w:qFormat/>
    <w:uiPriority w:val="99"/>
    <w:pPr>
      <w:tabs>
        <w:tab w:val="left" w:pos="284"/>
      </w:tabs>
      <w:spacing w:before="20" w:line="240" w:lineRule="auto"/>
    </w:pPr>
    <w:rPr>
      <w:caps/>
      <w:sz w:val="14"/>
    </w:rPr>
  </w:style>
  <w:style w:type="character" w:styleId="43">
    <w:name w:val="footnote reference"/>
    <w:basedOn w:val="15"/>
    <w:semiHidden/>
    <w:unhideWhenUsed/>
    <w:qFormat/>
    <w:uiPriority w:val="99"/>
    <w:rPr>
      <w:color w:val="152C46" w:themeColor="text1"/>
      <w:vertAlign w:val="superscript"/>
      <w14:textFill>
        <w14:solidFill>
          <w14:schemeClr w14:val="tx1"/>
        </w14:solidFill>
      </w14:textFill>
    </w:rPr>
  </w:style>
  <w:style w:type="paragraph" w:styleId="44">
    <w:name w:val="footnote text"/>
    <w:basedOn w:val="6"/>
    <w:link w:val="275"/>
    <w:uiPriority w:val="58"/>
    <w:pPr>
      <w:spacing w:line="240" w:lineRule="auto"/>
    </w:pPr>
    <w:rPr>
      <w:sz w:val="14"/>
      <w:szCs w:val="14"/>
    </w:rPr>
  </w:style>
  <w:style w:type="character" w:styleId="45">
    <w:name w:val="HTML Acronym"/>
    <w:basedOn w:val="15"/>
    <w:semiHidden/>
    <w:unhideWhenUsed/>
    <w:uiPriority w:val="99"/>
  </w:style>
  <w:style w:type="paragraph" w:styleId="46">
    <w:name w:val="HTML Address"/>
    <w:basedOn w:val="1"/>
    <w:link w:val="329"/>
    <w:semiHidden/>
    <w:unhideWhenUsed/>
    <w:uiPriority w:val="99"/>
    <w:pPr>
      <w:spacing w:after="0" w:line="240" w:lineRule="auto"/>
    </w:pPr>
    <w:rPr>
      <w:i/>
      <w:iCs/>
    </w:rPr>
  </w:style>
  <w:style w:type="character" w:styleId="47">
    <w:name w:val="HTML Cite"/>
    <w:basedOn w:val="15"/>
    <w:semiHidden/>
    <w:unhideWhenUsed/>
    <w:uiPriority w:val="99"/>
    <w:rPr>
      <w:i/>
      <w:iCs/>
    </w:rPr>
  </w:style>
  <w:style w:type="character" w:styleId="48">
    <w:name w:val="HTML Code"/>
    <w:basedOn w:val="15"/>
    <w:semiHidden/>
    <w:unhideWhenUsed/>
    <w:uiPriority w:val="99"/>
    <w:rPr>
      <w:rFonts w:ascii="Consolas" w:hAnsi="Consolas" w:cs="Consolas"/>
      <w:sz w:val="20"/>
      <w:szCs w:val="20"/>
    </w:rPr>
  </w:style>
  <w:style w:type="character" w:styleId="49">
    <w:name w:val="HTML Definition"/>
    <w:basedOn w:val="15"/>
    <w:semiHidden/>
    <w:unhideWhenUsed/>
    <w:uiPriority w:val="99"/>
    <w:rPr>
      <w:i/>
      <w:iCs/>
    </w:rPr>
  </w:style>
  <w:style w:type="character" w:styleId="50">
    <w:name w:val="HTML Keyboard"/>
    <w:basedOn w:val="15"/>
    <w:semiHidden/>
    <w:unhideWhenUsed/>
    <w:uiPriority w:val="99"/>
    <w:rPr>
      <w:rFonts w:ascii="Consolas" w:hAnsi="Consolas" w:cs="Consolas"/>
      <w:sz w:val="20"/>
      <w:szCs w:val="20"/>
    </w:rPr>
  </w:style>
  <w:style w:type="paragraph" w:styleId="51">
    <w:name w:val="HTML Preformatted"/>
    <w:basedOn w:val="1"/>
    <w:link w:val="330"/>
    <w:semiHidden/>
    <w:unhideWhenUsed/>
    <w:uiPriority w:val="99"/>
    <w:pPr>
      <w:spacing w:after="0" w:line="240" w:lineRule="auto"/>
    </w:pPr>
    <w:rPr>
      <w:rFonts w:ascii="Consolas" w:hAnsi="Consolas" w:cs="Consolas"/>
    </w:rPr>
  </w:style>
  <w:style w:type="character" w:styleId="52">
    <w:name w:val="HTML Sample"/>
    <w:basedOn w:val="15"/>
    <w:semiHidden/>
    <w:unhideWhenUsed/>
    <w:uiPriority w:val="99"/>
    <w:rPr>
      <w:rFonts w:ascii="Consolas" w:hAnsi="Consolas" w:cs="Consolas"/>
      <w:sz w:val="24"/>
      <w:szCs w:val="24"/>
    </w:rPr>
  </w:style>
  <w:style w:type="character" w:styleId="53">
    <w:name w:val="HTML Typewriter"/>
    <w:basedOn w:val="15"/>
    <w:semiHidden/>
    <w:unhideWhenUsed/>
    <w:uiPriority w:val="99"/>
    <w:rPr>
      <w:rFonts w:ascii="Consolas" w:hAnsi="Consolas" w:cs="Consolas"/>
      <w:sz w:val="20"/>
      <w:szCs w:val="20"/>
    </w:rPr>
  </w:style>
  <w:style w:type="character" w:styleId="54">
    <w:name w:val="HTML Variable"/>
    <w:basedOn w:val="15"/>
    <w:semiHidden/>
    <w:unhideWhenUsed/>
    <w:uiPriority w:val="99"/>
    <w:rPr>
      <w:i/>
      <w:iCs/>
    </w:rPr>
  </w:style>
  <w:style w:type="character" w:styleId="55">
    <w:name w:val="Hyperlink"/>
    <w:basedOn w:val="15"/>
    <w:unhideWhenUsed/>
    <w:qFormat/>
    <w:uiPriority w:val="99"/>
    <w:rPr>
      <w:color w:val="1E9FD7"/>
      <w:u w:val="single"/>
    </w:rPr>
  </w:style>
  <w:style w:type="paragraph" w:styleId="56">
    <w:name w:val="index 1"/>
    <w:basedOn w:val="1"/>
    <w:next w:val="1"/>
    <w:semiHidden/>
    <w:unhideWhenUsed/>
    <w:uiPriority w:val="99"/>
    <w:pPr>
      <w:spacing w:after="0" w:line="240" w:lineRule="auto"/>
      <w:ind w:left="200" w:hanging="200"/>
    </w:pPr>
  </w:style>
  <w:style w:type="paragraph" w:styleId="57">
    <w:name w:val="index 2"/>
    <w:basedOn w:val="1"/>
    <w:next w:val="1"/>
    <w:semiHidden/>
    <w:unhideWhenUsed/>
    <w:uiPriority w:val="99"/>
    <w:pPr>
      <w:spacing w:after="0" w:line="240" w:lineRule="auto"/>
      <w:ind w:left="400" w:hanging="200"/>
    </w:pPr>
  </w:style>
  <w:style w:type="paragraph" w:styleId="58">
    <w:name w:val="index 3"/>
    <w:basedOn w:val="1"/>
    <w:next w:val="1"/>
    <w:semiHidden/>
    <w:unhideWhenUsed/>
    <w:uiPriority w:val="99"/>
    <w:pPr>
      <w:spacing w:after="0" w:line="240" w:lineRule="auto"/>
      <w:ind w:left="600" w:hanging="200"/>
    </w:pPr>
  </w:style>
  <w:style w:type="paragraph" w:styleId="59">
    <w:name w:val="index 4"/>
    <w:basedOn w:val="1"/>
    <w:next w:val="1"/>
    <w:semiHidden/>
    <w:unhideWhenUsed/>
    <w:uiPriority w:val="99"/>
    <w:pPr>
      <w:spacing w:after="0" w:line="240" w:lineRule="auto"/>
      <w:ind w:left="800" w:hanging="200"/>
    </w:pPr>
  </w:style>
  <w:style w:type="paragraph" w:styleId="60">
    <w:name w:val="index 5"/>
    <w:basedOn w:val="1"/>
    <w:next w:val="1"/>
    <w:semiHidden/>
    <w:unhideWhenUsed/>
    <w:uiPriority w:val="99"/>
    <w:pPr>
      <w:spacing w:after="0" w:line="240" w:lineRule="auto"/>
      <w:ind w:left="1000" w:hanging="200"/>
    </w:pPr>
  </w:style>
  <w:style w:type="paragraph" w:styleId="61">
    <w:name w:val="index 6"/>
    <w:basedOn w:val="1"/>
    <w:next w:val="1"/>
    <w:semiHidden/>
    <w:unhideWhenUsed/>
    <w:uiPriority w:val="99"/>
    <w:pPr>
      <w:spacing w:after="0" w:line="240" w:lineRule="auto"/>
      <w:ind w:left="1200" w:hanging="200"/>
    </w:pPr>
  </w:style>
  <w:style w:type="paragraph" w:styleId="62">
    <w:name w:val="index 7"/>
    <w:basedOn w:val="1"/>
    <w:next w:val="1"/>
    <w:semiHidden/>
    <w:unhideWhenUsed/>
    <w:uiPriority w:val="99"/>
    <w:pPr>
      <w:spacing w:after="0" w:line="240" w:lineRule="auto"/>
      <w:ind w:left="1400" w:hanging="200"/>
    </w:pPr>
  </w:style>
  <w:style w:type="paragraph" w:styleId="63">
    <w:name w:val="index 8"/>
    <w:basedOn w:val="1"/>
    <w:next w:val="1"/>
    <w:semiHidden/>
    <w:unhideWhenUsed/>
    <w:uiPriority w:val="99"/>
    <w:pPr>
      <w:spacing w:after="0" w:line="240" w:lineRule="auto"/>
      <w:ind w:left="1600" w:hanging="200"/>
    </w:pPr>
  </w:style>
  <w:style w:type="paragraph" w:styleId="64">
    <w:name w:val="index 9"/>
    <w:basedOn w:val="1"/>
    <w:next w:val="1"/>
    <w:semiHidden/>
    <w:unhideWhenUsed/>
    <w:uiPriority w:val="99"/>
    <w:pPr>
      <w:spacing w:after="0" w:line="240" w:lineRule="auto"/>
      <w:ind w:left="1800" w:hanging="200"/>
    </w:pPr>
  </w:style>
  <w:style w:type="paragraph" w:styleId="65">
    <w:name w:val="index heading"/>
    <w:basedOn w:val="1"/>
    <w:next w:val="56"/>
    <w:semiHidden/>
    <w:unhideWhenUsed/>
    <w:uiPriority w:val="99"/>
    <w:rPr>
      <w:rFonts w:asciiTheme="majorHAnsi" w:hAnsiTheme="majorHAnsi" w:eastAsiaTheme="majorEastAsia" w:cstheme="majorBidi"/>
      <w:b/>
      <w:bCs/>
    </w:rPr>
  </w:style>
  <w:style w:type="character" w:styleId="66">
    <w:name w:val="line number"/>
    <w:basedOn w:val="15"/>
    <w:semiHidden/>
    <w:unhideWhenUsed/>
    <w:uiPriority w:val="99"/>
  </w:style>
  <w:style w:type="paragraph" w:styleId="67">
    <w:name w:val="List"/>
    <w:basedOn w:val="1"/>
    <w:semiHidden/>
    <w:unhideWhenUsed/>
    <w:uiPriority w:val="99"/>
    <w:pPr>
      <w:ind w:left="283" w:hanging="283"/>
      <w:contextualSpacing/>
    </w:pPr>
  </w:style>
  <w:style w:type="paragraph" w:styleId="68">
    <w:name w:val="List 2"/>
    <w:basedOn w:val="1"/>
    <w:semiHidden/>
    <w:unhideWhenUsed/>
    <w:uiPriority w:val="99"/>
    <w:pPr>
      <w:ind w:left="566" w:hanging="283"/>
      <w:contextualSpacing/>
    </w:pPr>
  </w:style>
  <w:style w:type="paragraph" w:styleId="69">
    <w:name w:val="List 3"/>
    <w:basedOn w:val="1"/>
    <w:semiHidden/>
    <w:unhideWhenUsed/>
    <w:uiPriority w:val="99"/>
    <w:pPr>
      <w:ind w:left="849" w:hanging="283"/>
      <w:contextualSpacing/>
    </w:pPr>
  </w:style>
  <w:style w:type="paragraph" w:styleId="70">
    <w:name w:val="List 4"/>
    <w:basedOn w:val="1"/>
    <w:semiHidden/>
    <w:unhideWhenUsed/>
    <w:uiPriority w:val="99"/>
    <w:pPr>
      <w:ind w:left="1132" w:hanging="283"/>
      <w:contextualSpacing/>
    </w:pPr>
  </w:style>
  <w:style w:type="paragraph" w:styleId="71">
    <w:name w:val="List 5"/>
    <w:basedOn w:val="1"/>
    <w:semiHidden/>
    <w:unhideWhenUsed/>
    <w:uiPriority w:val="99"/>
    <w:pPr>
      <w:ind w:left="1415" w:hanging="283"/>
      <w:contextualSpacing/>
    </w:pPr>
  </w:style>
  <w:style w:type="paragraph" w:styleId="72">
    <w:name w:val="List Bullet"/>
    <w:basedOn w:val="5"/>
    <w:qFormat/>
    <w:uiPriority w:val="2"/>
    <w:pPr>
      <w:numPr>
        <w:ilvl w:val="0"/>
        <w:numId w:val="2"/>
      </w:numPr>
    </w:pPr>
  </w:style>
  <w:style w:type="paragraph" w:styleId="73">
    <w:name w:val="List Bullet 2"/>
    <w:basedOn w:val="72"/>
    <w:qFormat/>
    <w:uiPriority w:val="2"/>
    <w:pPr>
      <w:numPr>
        <w:ilvl w:val="1"/>
      </w:numPr>
    </w:pPr>
  </w:style>
  <w:style w:type="paragraph" w:styleId="74">
    <w:name w:val="List Bullet 3"/>
    <w:basedOn w:val="72"/>
    <w:qFormat/>
    <w:uiPriority w:val="2"/>
    <w:pPr>
      <w:numPr>
        <w:ilvl w:val="2"/>
      </w:numPr>
    </w:pPr>
  </w:style>
  <w:style w:type="paragraph" w:styleId="75">
    <w:name w:val="List Bullet 4"/>
    <w:basedOn w:val="1"/>
    <w:semiHidden/>
    <w:unhideWhenUsed/>
    <w:uiPriority w:val="99"/>
    <w:pPr>
      <w:numPr>
        <w:ilvl w:val="0"/>
        <w:numId w:val="3"/>
      </w:numPr>
      <w:contextualSpacing/>
    </w:pPr>
  </w:style>
  <w:style w:type="paragraph" w:styleId="76">
    <w:name w:val="List Bullet 5"/>
    <w:basedOn w:val="1"/>
    <w:semiHidden/>
    <w:unhideWhenUsed/>
    <w:uiPriority w:val="99"/>
    <w:pPr>
      <w:numPr>
        <w:ilvl w:val="0"/>
        <w:numId w:val="4"/>
      </w:numPr>
      <w:contextualSpacing/>
    </w:pPr>
  </w:style>
  <w:style w:type="paragraph" w:styleId="77">
    <w:name w:val="List Continue"/>
    <w:basedOn w:val="1"/>
    <w:semiHidden/>
    <w:unhideWhenUsed/>
    <w:uiPriority w:val="99"/>
    <w:pPr>
      <w:spacing w:after="120"/>
      <w:ind w:left="283"/>
      <w:contextualSpacing/>
    </w:pPr>
  </w:style>
  <w:style w:type="paragraph" w:styleId="78">
    <w:name w:val="List Continue 2"/>
    <w:basedOn w:val="1"/>
    <w:semiHidden/>
    <w:unhideWhenUsed/>
    <w:uiPriority w:val="99"/>
    <w:pPr>
      <w:spacing w:after="120"/>
      <w:ind w:left="566"/>
      <w:contextualSpacing/>
    </w:pPr>
  </w:style>
  <w:style w:type="paragraph" w:styleId="79">
    <w:name w:val="List Continue 3"/>
    <w:basedOn w:val="1"/>
    <w:semiHidden/>
    <w:unhideWhenUsed/>
    <w:uiPriority w:val="99"/>
    <w:pPr>
      <w:spacing w:after="120"/>
      <w:ind w:left="849"/>
      <w:contextualSpacing/>
    </w:pPr>
  </w:style>
  <w:style w:type="paragraph" w:styleId="80">
    <w:name w:val="List Continue 4"/>
    <w:basedOn w:val="1"/>
    <w:semiHidden/>
    <w:unhideWhenUsed/>
    <w:uiPriority w:val="99"/>
    <w:pPr>
      <w:spacing w:after="120"/>
      <w:ind w:left="1132"/>
      <w:contextualSpacing/>
    </w:pPr>
  </w:style>
  <w:style w:type="paragraph" w:styleId="81">
    <w:name w:val="List Continue 5"/>
    <w:basedOn w:val="1"/>
    <w:semiHidden/>
    <w:unhideWhenUsed/>
    <w:uiPriority w:val="99"/>
    <w:pPr>
      <w:spacing w:after="120"/>
      <w:ind w:left="1415"/>
      <w:contextualSpacing/>
    </w:pPr>
  </w:style>
  <w:style w:type="paragraph" w:styleId="82">
    <w:name w:val="List Number"/>
    <w:basedOn w:val="5"/>
    <w:qFormat/>
    <w:uiPriority w:val="2"/>
    <w:pPr>
      <w:numPr>
        <w:ilvl w:val="0"/>
        <w:numId w:val="5"/>
      </w:numPr>
    </w:pPr>
  </w:style>
  <w:style w:type="paragraph" w:styleId="83">
    <w:name w:val="List Number 2"/>
    <w:basedOn w:val="82"/>
    <w:qFormat/>
    <w:uiPriority w:val="2"/>
    <w:pPr>
      <w:numPr>
        <w:ilvl w:val="1"/>
      </w:numPr>
    </w:pPr>
  </w:style>
  <w:style w:type="paragraph" w:styleId="84">
    <w:name w:val="List Number 3"/>
    <w:basedOn w:val="82"/>
    <w:qFormat/>
    <w:uiPriority w:val="2"/>
    <w:pPr>
      <w:numPr>
        <w:ilvl w:val="2"/>
      </w:numPr>
    </w:pPr>
  </w:style>
  <w:style w:type="paragraph" w:styleId="85">
    <w:name w:val="List Number 4"/>
    <w:basedOn w:val="1"/>
    <w:semiHidden/>
    <w:unhideWhenUsed/>
    <w:uiPriority w:val="99"/>
    <w:pPr>
      <w:numPr>
        <w:ilvl w:val="0"/>
        <w:numId w:val="6"/>
      </w:numPr>
      <w:contextualSpacing/>
    </w:pPr>
  </w:style>
  <w:style w:type="paragraph" w:styleId="86">
    <w:name w:val="List Number 5"/>
    <w:basedOn w:val="1"/>
    <w:semiHidden/>
    <w:unhideWhenUsed/>
    <w:uiPriority w:val="99"/>
    <w:pPr>
      <w:numPr>
        <w:ilvl w:val="0"/>
        <w:numId w:val="7"/>
      </w:numPr>
      <w:contextualSpacing/>
    </w:pPr>
  </w:style>
  <w:style w:type="paragraph" w:styleId="87">
    <w:name w:val="macro"/>
    <w:link w:val="331"/>
    <w:semiHidden/>
    <w:unhideWhenUsed/>
    <w:uiPriority w:val="9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cs="Consolas" w:eastAsiaTheme="minorHAnsi"/>
      <w:lang w:val="en-GB" w:eastAsia="en-US" w:bidi="ar-SA"/>
    </w:rPr>
  </w:style>
  <w:style w:type="paragraph" w:styleId="88">
    <w:name w:val="Message Header"/>
    <w:basedOn w:val="1"/>
    <w:link w:val="332"/>
    <w:semiHidden/>
    <w:unhideWhenUsed/>
    <w:uiPriority w:val="99"/>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sz w:val="24"/>
      <w:szCs w:val="24"/>
    </w:rPr>
  </w:style>
  <w:style w:type="paragraph" w:styleId="89">
    <w:name w:val="Normal (Web)"/>
    <w:basedOn w:val="1"/>
    <w:unhideWhenUsed/>
    <w:uiPriority w:val="99"/>
    <w:rPr>
      <w:rFonts w:ascii="Times New Roman" w:hAnsi="Times New Roman" w:cs="Times New Roman"/>
      <w:sz w:val="24"/>
      <w:szCs w:val="24"/>
    </w:rPr>
  </w:style>
  <w:style w:type="paragraph" w:styleId="90">
    <w:name w:val="Normal Indent"/>
    <w:basedOn w:val="1"/>
    <w:semiHidden/>
    <w:unhideWhenUsed/>
    <w:uiPriority w:val="99"/>
    <w:pPr>
      <w:ind w:left="720"/>
    </w:pPr>
  </w:style>
  <w:style w:type="paragraph" w:styleId="91">
    <w:name w:val="Note Heading"/>
    <w:basedOn w:val="1"/>
    <w:next w:val="1"/>
    <w:link w:val="333"/>
    <w:semiHidden/>
    <w:unhideWhenUsed/>
    <w:uiPriority w:val="99"/>
    <w:pPr>
      <w:spacing w:after="0" w:line="240" w:lineRule="auto"/>
    </w:pPr>
  </w:style>
  <w:style w:type="character" w:styleId="92">
    <w:name w:val="page number"/>
    <w:basedOn w:val="15"/>
    <w:semiHidden/>
    <w:unhideWhenUsed/>
    <w:uiPriority w:val="99"/>
  </w:style>
  <w:style w:type="paragraph" w:styleId="93">
    <w:name w:val="Plain Text"/>
    <w:basedOn w:val="1"/>
    <w:link w:val="335"/>
    <w:semiHidden/>
    <w:unhideWhenUsed/>
    <w:uiPriority w:val="99"/>
    <w:pPr>
      <w:spacing w:after="0" w:line="240" w:lineRule="auto"/>
    </w:pPr>
    <w:rPr>
      <w:rFonts w:ascii="Consolas" w:hAnsi="Consolas" w:cs="Consolas"/>
      <w:sz w:val="21"/>
      <w:szCs w:val="21"/>
    </w:rPr>
  </w:style>
  <w:style w:type="paragraph" w:styleId="94">
    <w:name w:val="Salutation"/>
    <w:basedOn w:val="1"/>
    <w:next w:val="1"/>
    <w:link w:val="336"/>
    <w:semiHidden/>
    <w:unhideWhenUsed/>
    <w:uiPriority w:val="99"/>
  </w:style>
  <w:style w:type="paragraph" w:styleId="95">
    <w:name w:val="Signature"/>
    <w:basedOn w:val="1"/>
    <w:link w:val="337"/>
    <w:semiHidden/>
    <w:unhideWhenUsed/>
    <w:uiPriority w:val="99"/>
    <w:pPr>
      <w:spacing w:after="0" w:line="240" w:lineRule="auto"/>
      <w:ind w:left="4252"/>
    </w:pPr>
  </w:style>
  <w:style w:type="character" w:styleId="96">
    <w:name w:val="Strong"/>
    <w:basedOn w:val="15"/>
    <w:semiHidden/>
    <w:qFormat/>
    <w:uiPriority w:val="22"/>
    <w:rPr>
      <w:b/>
      <w:bCs/>
    </w:rPr>
  </w:style>
  <w:style w:type="paragraph" w:styleId="97">
    <w:name w:val="Subtitle"/>
    <w:basedOn w:val="3"/>
    <w:next w:val="32"/>
    <w:link w:val="282"/>
    <w:uiPriority w:val="11"/>
    <w:pPr>
      <w:spacing w:after="660" w:line="240" w:lineRule="auto"/>
    </w:pPr>
    <w:rPr>
      <w:rFonts w:eastAsiaTheme="majorEastAsia" w:cstheme="majorBidi"/>
      <w:iCs/>
      <w:caps/>
      <w:color w:val="002958"/>
      <w:sz w:val="44"/>
      <w:szCs w:val="54"/>
    </w:rPr>
  </w:style>
  <w:style w:type="table" w:styleId="98">
    <w:name w:val="Table 3D effects 1"/>
    <w:basedOn w:val="16"/>
    <w:semiHidden/>
    <w:unhideWhenUsed/>
    <w:uiPriority w:val="99"/>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9">
    <w:name w:val="Table 3D effects 2"/>
    <w:basedOn w:val="16"/>
    <w:semiHidden/>
    <w:unhideWhenUsed/>
    <w:uiPriority w:val="99"/>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0">
    <w:name w:val="Table 3D effects 3"/>
    <w:basedOn w:val="16"/>
    <w:semiHidden/>
    <w:unhideWhenUsed/>
    <w:uiPriority w:val="99"/>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1">
    <w:name w:val="Table Classic 1"/>
    <w:basedOn w:val="16"/>
    <w:semiHidden/>
    <w:unhideWhenUsed/>
    <w:uiPriority w:val="99"/>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02">
    <w:name w:val="Table Classic 2"/>
    <w:basedOn w:val="16"/>
    <w:semiHidden/>
    <w:unhideWhenUsed/>
    <w:uiPriority w:val="99"/>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03">
    <w:name w:val="Table Classic 3"/>
    <w:basedOn w:val="16"/>
    <w:semiHidden/>
    <w:unhideWhenUsed/>
    <w:uiPriority w:val="9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4">
    <w:name w:val="Table Classic 4"/>
    <w:basedOn w:val="16"/>
    <w:semiHidden/>
    <w:unhideWhenUsed/>
    <w:uiPriority w:val="99"/>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5">
    <w:name w:val="Table Colorful 1"/>
    <w:basedOn w:val="16"/>
    <w:semiHidden/>
    <w:unhideWhenUsed/>
    <w:uiPriority w:val="9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6">
    <w:name w:val="Table Colorful 2"/>
    <w:basedOn w:val="16"/>
    <w:semiHidden/>
    <w:unhideWhenUsed/>
    <w:uiPriority w:val="99"/>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7">
    <w:name w:val="Table Colorful 3"/>
    <w:basedOn w:val="16"/>
    <w:semiHidden/>
    <w:unhideWhenUsed/>
    <w:uiPriority w:val="99"/>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8">
    <w:name w:val="Table Columns 1"/>
    <w:basedOn w:val="16"/>
    <w:semiHidden/>
    <w:unhideWhenUsed/>
    <w:uiPriority w:val="99"/>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9">
    <w:name w:val="Table Columns 2"/>
    <w:basedOn w:val="16"/>
    <w:semiHidden/>
    <w:unhideWhenUsed/>
    <w:uiPriority w:val="99"/>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0">
    <w:name w:val="Table Columns 3"/>
    <w:basedOn w:val="16"/>
    <w:semiHidden/>
    <w:unhideWhenUsed/>
    <w:uiPriority w:val="99"/>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1">
    <w:name w:val="Table Columns 4"/>
    <w:basedOn w:val="16"/>
    <w:semiHidden/>
    <w:unhideWhenUsed/>
    <w:uiPriority w:val="99"/>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2">
    <w:name w:val="Table Columns 5"/>
    <w:basedOn w:val="16"/>
    <w:semiHidden/>
    <w:unhideWhenUsed/>
    <w:uiPriority w:val="99"/>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3">
    <w:name w:val="Table Contemporary"/>
    <w:basedOn w:val="16"/>
    <w:semiHidden/>
    <w:unhideWhenUsed/>
    <w:uiPriority w:val="99"/>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4">
    <w:name w:val="Table Elegant"/>
    <w:basedOn w:val="16"/>
    <w:semiHidden/>
    <w:unhideWhenUsed/>
    <w:uiPriority w:val="9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5">
    <w:name w:val="Table Grid"/>
    <w:basedOn w:val="1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6">
    <w:name w:val="Table Grid 1"/>
    <w:basedOn w:val="16"/>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2"/>
    <w:basedOn w:val="16"/>
    <w:semiHidden/>
    <w:unhideWhenUsed/>
    <w:uiPriority w:val="99"/>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8">
    <w:name w:val="Table Grid 3"/>
    <w:basedOn w:val="16"/>
    <w:semiHidden/>
    <w:unhideWhenUsed/>
    <w:uiPriority w:val="99"/>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4"/>
    <w:basedOn w:val="16"/>
    <w:semiHidden/>
    <w:unhideWhenUsed/>
    <w:uiPriority w:val="99"/>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0">
    <w:name w:val="Table Grid 5"/>
    <w:basedOn w:val="16"/>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6"/>
    <w:basedOn w:val="16"/>
    <w:semiHidden/>
    <w:unhideWhenUsed/>
    <w:uiPriority w:val="99"/>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7"/>
    <w:basedOn w:val="16"/>
    <w:semiHidden/>
    <w:unhideWhenUsed/>
    <w:uiPriority w:val="99"/>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8"/>
    <w:basedOn w:val="16"/>
    <w:semiHidden/>
    <w:unhideWhenUsed/>
    <w:uiPriority w:val="99"/>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4">
    <w:name w:val="Table List 1"/>
    <w:basedOn w:val="16"/>
    <w:semiHidden/>
    <w:unhideWhenUsed/>
    <w:uiPriority w:val="99"/>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5">
    <w:name w:val="Table List 2"/>
    <w:basedOn w:val="16"/>
    <w:semiHidden/>
    <w:unhideWhenUsed/>
    <w:uiPriority w:val="99"/>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6">
    <w:name w:val="Table List 3"/>
    <w:basedOn w:val="16"/>
    <w:semiHidden/>
    <w:unhideWhenUsed/>
    <w:uiPriority w:val="99"/>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7">
    <w:name w:val="Table List 4"/>
    <w:basedOn w:val="16"/>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28">
    <w:name w:val="Table List 5"/>
    <w:basedOn w:val="16"/>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29">
    <w:name w:val="Table List 6"/>
    <w:basedOn w:val="16"/>
    <w:semiHidden/>
    <w:unhideWhenUsed/>
    <w:uiPriority w:val="99"/>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30">
    <w:name w:val="Table List 7"/>
    <w:basedOn w:val="16"/>
    <w:semiHidden/>
    <w:unhideWhenUsed/>
    <w:uiPriority w:val="99"/>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31">
    <w:name w:val="Table List 8"/>
    <w:basedOn w:val="16"/>
    <w:semiHidden/>
    <w:unhideWhenUsed/>
    <w:uiPriority w:val="99"/>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32">
    <w:name w:val="table of authorities"/>
    <w:basedOn w:val="1"/>
    <w:next w:val="1"/>
    <w:semiHidden/>
    <w:unhideWhenUsed/>
    <w:uiPriority w:val="99"/>
    <w:pPr>
      <w:spacing w:after="0"/>
      <w:ind w:left="200" w:hanging="200"/>
    </w:pPr>
  </w:style>
  <w:style w:type="paragraph" w:styleId="133">
    <w:name w:val="table of figures"/>
    <w:basedOn w:val="1"/>
    <w:next w:val="1"/>
    <w:semiHidden/>
    <w:unhideWhenUsed/>
    <w:uiPriority w:val="99"/>
    <w:pPr>
      <w:spacing w:after="0"/>
    </w:pPr>
  </w:style>
  <w:style w:type="table" w:styleId="134">
    <w:name w:val="Table Professional"/>
    <w:basedOn w:val="16"/>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5">
    <w:name w:val="Table Simple 1"/>
    <w:basedOn w:val="16"/>
    <w:semiHidden/>
    <w:unhideWhenUsed/>
    <w:uiPriority w:val="99"/>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6">
    <w:name w:val="Table Simple 2"/>
    <w:basedOn w:val="16"/>
    <w:semiHidden/>
    <w:unhideWhenUsed/>
    <w:uiPriority w:val="99"/>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7">
    <w:name w:val="Table Simple 3"/>
    <w:basedOn w:val="16"/>
    <w:semiHidden/>
    <w:unhideWhenUsed/>
    <w:uiPriority w:val="99"/>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8">
    <w:name w:val="Table Subtle 1"/>
    <w:basedOn w:val="16"/>
    <w:semiHidden/>
    <w:unhideWhenUsed/>
    <w:uiPriority w:val="99"/>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9">
    <w:name w:val="Table Subtle 2"/>
    <w:basedOn w:val="16"/>
    <w:semiHidden/>
    <w:unhideWhenUsed/>
    <w:uiPriority w:val="99"/>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40">
    <w:name w:val="Table Theme"/>
    <w:basedOn w:val="16"/>
    <w:semiHidden/>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1">
    <w:name w:val="Table Web 1"/>
    <w:basedOn w:val="16"/>
    <w:semiHidden/>
    <w:unhideWhenUsed/>
    <w:uiPriority w:val="99"/>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42">
    <w:name w:val="Table Web 2"/>
    <w:basedOn w:val="16"/>
    <w:semiHidden/>
    <w:unhideWhenUsed/>
    <w:uiPriority w:val="99"/>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43">
    <w:name w:val="Table Web 3"/>
    <w:basedOn w:val="16"/>
    <w:semiHidden/>
    <w:unhideWhenUsed/>
    <w:uiPriority w:val="99"/>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4">
    <w:name w:val="Title"/>
    <w:basedOn w:val="3"/>
    <w:next w:val="97"/>
    <w:link w:val="262"/>
    <w:qFormat/>
    <w:uiPriority w:val="10"/>
    <w:pPr>
      <w:spacing w:line="240" w:lineRule="auto"/>
    </w:pPr>
    <w:rPr>
      <w:rFonts w:eastAsiaTheme="majorEastAsia" w:cstheme="majorBidi"/>
      <w:caps/>
      <w:sz w:val="44"/>
      <w:szCs w:val="52"/>
    </w:rPr>
  </w:style>
  <w:style w:type="paragraph" w:styleId="145">
    <w:name w:val="toa heading"/>
    <w:basedOn w:val="1"/>
    <w:next w:val="1"/>
    <w:semiHidden/>
    <w:unhideWhenUsed/>
    <w:uiPriority w:val="99"/>
    <w:pPr>
      <w:spacing w:before="120"/>
    </w:pPr>
    <w:rPr>
      <w:rFonts w:asciiTheme="majorHAnsi" w:hAnsiTheme="majorHAnsi" w:eastAsiaTheme="majorEastAsia" w:cstheme="majorBidi"/>
      <w:b/>
      <w:bCs/>
      <w:sz w:val="24"/>
      <w:szCs w:val="24"/>
    </w:rPr>
  </w:style>
  <w:style w:type="paragraph" w:styleId="146">
    <w:name w:val="toc 1"/>
    <w:basedOn w:val="3"/>
    <w:next w:val="5"/>
    <w:unhideWhenUsed/>
    <w:qFormat/>
    <w:uiPriority w:val="39"/>
    <w:pPr>
      <w:keepNext w:val="0"/>
      <w:keepLines w:val="0"/>
      <w:spacing w:before="120" w:after="120"/>
    </w:pPr>
    <w:rPr>
      <w:rFonts w:asciiTheme="minorHAnsi" w:hAnsiTheme="minorHAnsi" w:cstheme="minorHAnsi"/>
      <w:b/>
      <w:bCs/>
      <w:caps/>
      <w:color w:val="auto"/>
    </w:rPr>
  </w:style>
  <w:style w:type="paragraph" w:styleId="147">
    <w:name w:val="toc 2"/>
    <w:basedOn w:val="146"/>
    <w:next w:val="5"/>
    <w:unhideWhenUsed/>
    <w:qFormat/>
    <w:uiPriority w:val="39"/>
    <w:pPr>
      <w:spacing w:before="0" w:after="0"/>
      <w:ind w:left="200"/>
    </w:pPr>
    <w:rPr>
      <w:b w:val="0"/>
      <w:bCs w:val="0"/>
      <w:caps w:val="0"/>
    </w:rPr>
  </w:style>
  <w:style w:type="paragraph" w:styleId="148">
    <w:name w:val="toc 3"/>
    <w:basedOn w:val="147"/>
    <w:next w:val="5"/>
    <w:unhideWhenUsed/>
    <w:qFormat/>
    <w:uiPriority w:val="39"/>
    <w:pPr>
      <w:ind w:left="400"/>
    </w:pPr>
    <w:rPr>
      <w:iCs/>
    </w:rPr>
  </w:style>
  <w:style w:type="paragraph" w:styleId="149">
    <w:name w:val="toc 4"/>
    <w:basedOn w:val="148"/>
    <w:next w:val="1"/>
    <w:unhideWhenUsed/>
    <w:qFormat/>
    <w:uiPriority w:val="39"/>
    <w:pPr>
      <w:ind w:left="600"/>
    </w:pPr>
    <w:rPr>
      <w:i/>
      <w:iCs w:val="0"/>
      <w:sz w:val="18"/>
      <w:szCs w:val="18"/>
    </w:rPr>
  </w:style>
  <w:style w:type="paragraph" w:styleId="150">
    <w:name w:val="toc 5"/>
    <w:basedOn w:val="1"/>
    <w:next w:val="1"/>
    <w:unhideWhenUsed/>
    <w:uiPriority w:val="39"/>
    <w:pPr>
      <w:spacing w:after="0"/>
      <w:ind w:left="800"/>
    </w:pPr>
    <w:rPr>
      <w:rFonts w:cstheme="minorHAnsi"/>
      <w:sz w:val="18"/>
      <w:szCs w:val="18"/>
    </w:rPr>
  </w:style>
  <w:style w:type="paragraph" w:styleId="151">
    <w:name w:val="toc 6"/>
    <w:basedOn w:val="1"/>
    <w:next w:val="1"/>
    <w:unhideWhenUsed/>
    <w:uiPriority w:val="39"/>
    <w:pPr>
      <w:spacing w:after="0"/>
      <w:ind w:left="1000"/>
    </w:pPr>
    <w:rPr>
      <w:rFonts w:cstheme="minorHAnsi"/>
      <w:sz w:val="18"/>
      <w:szCs w:val="18"/>
    </w:rPr>
  </w:style>
  <w:style w:type="paragraph" w:styleId="152">
    <w:name w:val="toc 7"/>
    <w:basedOn w:val="1"/>
    <w:next w:val="1"/>
    <w:unhideWhenUsed/>
    <w:uiPriority w:val="39"/>
    <w:pPr>
      <w:spacing w:after="0"/>
      <w:ind w:left="1200"/>
    </w:pPr>
    <w:rPr>
      <w:rFonts w:cstheme="minorHAnsi"/>
      <w:sz w:val="18"/>
      <w:szCs w:val="18"/>
    </w:rPr>
  </w:style>
  <w:style w:type="paragraph" w:styleId="153">
    <w:name w:val="toc 8"/>
    <w:basedOn w:val="1"/>
    <w:next w:val="1"/>
    <w:unhideWhenUsed/>
    <w:uiPriority w:val="39"/>
    <w:pPr>
      <w:spacing w:after="0"/>
      <w:ind w:left="1400"/>
    </w:pPr>
    <w:rPr>
      <w:rFonts w:cstheme="minorHAnsi"/>
      <w:sz w:val="18"/>
      <w:szCs w:val="18"/>
    </w:rPr>
  </w:style>
  <w:style w:type="paragraph" w:styleId="154">
    <w:name w:val="toc 9"/>
    <w:basedOn w:val="1"/>
    <w:next w:val="1"/>
    <w:unhideWhenUsed/>
    <w:uiPriority w:val="39"/>
    <w:pPr>
      <w:spacing w:after="0"/>
      <w:ind w:left="1600"/>
    </w:pPr>
    <w:rPr>
      <w:rFonts w:cstheme="minorHAnsi"/>
      <w:sz w:val="18"/>
      <w:szCs w:val="18"/>
    </w:rPr>
  </w:style>
  <w:style w:type="table" w:styleId="155">
    <w:name w:val="Light Shading"/>
    <w:basedOn w:val="16"/>
    <w:uiPriority w:val="60"/>
    <w:pPr>
      <w:spacing w:after="0" w:line="240" w:lineRule="auto"/>
    </w:pPr>
    <w:rPr>
      <w:color w:val="102135" w:themeColor="text1" w:themeShade="BF"/>
    </w:rPr>
    <w:tblPr>
      <w:tblBorders>
        <w:top w:val="single" w:color="152C46" w:themeColor="text1" w:sz="8" w:space="0"/>
        <w:bottom w:val="single" w:color="152C46" w:themeColor="text1" w:sz="8" w:space="0"/>
      </w:tblBorders>
    </w:tblPr>
    <w:tblStylePr w:type="firstRow">
      <w:pPr>
        <w:spacing w:before="0" w:after="0" w:line="240" w:lineRule="auto"/>
      </w:pPr>
      <w:rPr>
        <w:b/>
        <w:bCs/>
      </w:rPr>
      <w:tblPr/>
      <w:tcPr>
        <w:tcBorders>
          <w:top w:val="single" w:color="152C46" w:themeColor="text1" w:sz="8" w:space="0"/>
          <w:left w:val="nil"/>
          <w:bottom w:val="single" w:color="152C46" w:themeColor="text1" w:sz="8" w:space="0"/>
          <w:right w:val="nil"/>
          <w:insideH w:val="nil"/>
          <w:insideV w:val="nil"/>
        </w:tcBorders>
      </w:tcPr>
    </w:tblStylePr>
    <w:tblStylePr w:type="lastRow">
      <w:pPr>
        <w:spacing w:before="0" w:after="0" w:line="240" w:lineRule="auto"/>
      </w:pPr>
      <w:rPr>
        <w:b/>
        <w:bCs/>
      </w:rPr>
      <w:tblPr/>
      <w:tcPr>
        <w:tcBorders>
          <w:top w:val="single" w:color="152C46" w:themeColor="text1" w:sz="8" w:space="0"/>
          <w:left w:val="nil"/>
          <w:bottom w:val="single" w:color="152C46"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C9E7" w:themeFill="text1" w:themeFillTint="3F"/>
      </w:tcPr>
    </w:tblStylePr>
    <w:tblStylePr w:type="band1Horz">
      <w:tblPr/>
      <w:tcPr>
        <w:tcBorders>
          <w:left w:val="nil"/>
          <w:right w:val="nil"/>
          <w:insideH w:val="nil"/>
          <w:insideV w:val="nil"/>
        </w:tcBorders>
        <w:shd w:val="clear" w:color="auto" w:fill="AFC9E7" w:themeFill="text1" w:themeFillTint="3F"/>
      </w:tcPr>
    </w:tblStylePr>
  </w:style>
  <w:style w:type="table" w:styleId="156">
    <w:name w:val="Light Shading Accent 1"/>
    <w:basedOn w:val="16"/>
    <w:uiPriority w:val="60"/>
    <w:pPr>
      <w:spacing w:after="0" w:line="240" w:lineRule="auto"/>
    </w:pPr>
    <w:rPr>
      <w:color w:val="00A876" w:themeColor="accent1" w:themeShade="BF"/>
    </w:rPr>
    <w:tblPr>
      <w:tblBorders>
        <w:top w:val="single" w:color="00E09E" w:themeColor="accent1" w:sz="8" w:space="0"/>
        <w:bottom w:val="single" w:color="00E09E" w:themeColor="accent1" w:sz="8" w:space="0"/>
      </w:tblBorders>
    </w:tblPr>
    <w:tblStylePr w:type="firstRow">
      <w:pPr>
        <w:spacing w:before="0" w:after="0" w:line="240" w:lineRule="auto"/>
      </w:pPr>
      <w:rPr>
        <w:b/>
        <w:bCs/>
      </w:rPr>
      <w:tblPr/>
      <w:tcPr>
        <w:tcBorders>
          <w:top w:val="single" w:color="00E09E" w:themeColor="accent1" w:sz="8" w:space="0"/>
          <w:left w:val="nil"/>
          <w:bottom w:val="single" w:color="00E09E" w:themeColor="accent1" w:sz="8" w:space="0"/>
          <w:right w:val="nil"/>
          <w:insideH w:val="nil"/>
          <w:insideV w:val="nil"/>
        </w:tcBorders>
      </w:tcPr>
    </w:tblStylePr>
    <w:tblStylePr w:type="lastRow">
      <w:pPr>
        <w:spacing w:before="0" w:after="0" w:line="240" w:lineRule="auto"/>
      </w:pPr>
      <w:rPr>
        <w:b/>
        <w:bCs/>
      </w:rPr>
      <w:tblPr/>
      <w:tcPr>
        <w:tcBorders>
          <w:top w:val="single" w:color="00E09E" w:themeColor="accent1" w:sz="8" w:space="0"/>
          <w:left w:val="nil"/>
          <w:bottom w:val="single" w:color="00E09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FEA" w:themeFill="accent1" w:themeFillTint="3F"/>
      </w:tcPr>
    </w:tblStylePr>
    <w:tblStylePr w:type="band1Horz">
      <w:tblPr/>
      <w:tcPr>
        <w:tcBorders>
          <w:left w:val="nil"/>
          <w:right w:val="nil"/>
          <w:insideH w:val="nil"/>
          <w:insideV w:val="nil"/>
        </w:tcBorders>
        <w:shd w:val="clear" w:color="auto" w:fill="B8FFEA" w:themeFill="accent1" w:themeFillTint="3F"/>
      </w:tcPr>
    </w:tblStylePr>
  </w:style>
  <w:style w:type="table" w:styleId="157">
    <w:name w:val="Light Shading Accent 2"/>
    <w:basedOn w:val="16"/>
    <w:uiPriority w:val="60"/>
    <w:pPr>
      <w:spacing w:after="0" w:line="240" w:lineRule="auto"/>
    </w:pPr>
    <w:rPr>
      <w:color w:val="31605F" w:themeColor="accent2" w:themeShade="BF"/>
    </w:rPr>
    <w:tblPr>
      <w:tblBorders>
        <w:top w:val="single" w:color="41807F" w:themeColor="accent2" w:sz="8" w:space="0"/>
        <w:bottom w:val="single" w:color="41807F" w:themeColor="accent2" w:sz="8" w:space="0"/>
      </w:tblBorders>
    </w:tblPr>
    <w:tblStylePr w:type="firstRow">
      <w:pPr>
        <w:spacing w:before="0" w:after="0" w:line="240" w:lineRule="auto"/>
      </w:pPr>
      <w:rPr>
        <w:b/>
        <w:bCs/>
      </w:rPr>
      <w:tblPr/>
      <w:tcPr>
        <w:tcBorders>
          <w:top w:val="single" w:color="41807F" w:themeColor="accent2" w:sz="8" w:space="0"/>
          <w:left w:val="nil"/>
          <w:bottom w:val="single" w:color="41807F" w:themeColor="accent2" w:sz="8" w:space="0"/>
          <w:right w:val="nil"/>
          <w:insideH w:val="nil"/>
          <w:insideV w:val="nil"/>
        </w:tcBorders>
      </w:tcPr>
    </w:tblStylePr>
    <w:tblStylePr w:type="lastRow">
      <w:pPr>
        <w:spacing w:before="0" w:after="0" w:line="240" w:lineRule="auto"/>
      </w:pPr>
      <w:rPr>
        <w:b/>
        <w:bCs/>
      </w:rPr>
      <w:tblPr/>
      <w:tcPr>
        <w:tcBorders>
          <w:top w:val="single" w:color="41807F" w:themeColor="accent2" w:sz="8" w:space="0"/>
          <w:left w:val="nil"/>
          <w:bottom w:val="single" w:color="41807F"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4E4" w:themeFill="accent2" w:themeFillTint="3F"/>
      </w:tcPr>
    </w:tblStylePr>
    <w:tblStylePr w:type="band1Horz">
      <w:tblPr/>
      <w:tcPr>
        <w:tcBorders>
          <w:left w:val="nil"/>
          <w:right w:val="nil"/>
          <w:insideH w:val="nil"/>
          <w:insideV w:val="nil"/>
        </w:tcBorders>
        <w:shd w:val="clear" w:color="auto" w:fill="CBE4E4" w:themeFill="accent2" w:themeFillTint="3F"/>
      </w:tcPr>
    </w:tblStylePr>
  </w:style>
  <w:style w:type="table" w:styleId="158">
    <w:name w:val="Light Shading Accent 3"/>
    <w:basedOn w:val="16"/>
    <w:uiPriority w:val="60"/>
    <w:pPr>
      <w:spacing w:after="0" w:line="240" w:lineRule="auto"/>
    </w:pPr>
    <w:rPr>
      <w:color w:val="1777A1" w:themeColor="accent3" w:themeShade="BF"/>
    </w:rPr>
    <w:tblPr>
      <w:tblBorders>
        <w:top w:val="single" w:color="1E9FD7" w:themeColor="accent3" w:sz="8" w:space="0"/>
        <w:bottom w:val="single" w:color="1E9FD7" w:themeColor="accent3" w:sz="8" w:space="0"/>
      </w:tblBorders>
    </w:tblPr>
    <w:tblStylePr w:type="firstRow">
      <w:pPr>
        <w:spacing w:before="0" w:after="0" w:line="240" w:lineRule="auto"/>
      </w:pPr>
      <w:rPr>
        <w:b/>
        <w:bCs/>
      </w:rPr>
      <w:tblPr/>
      <w:tcPr>
        <w:tcBorders>
          <w:top w:val="single" w:color="1E9FD7" w:themeColor="accent3" w:sz="8" w:space="0"/>
          <w:left w:val="nil"/>
          <w:bottom w:val="single" w:color="1E9FD7" w:themeColor="accent3" w:sz="8" w:space="0"/>
          <w:right w:val="nil"/>
          <w:insideH w:val="nil"/>
          <w:insideV w:val="nil"/>
        </w:tcBorders>
      </w:tcPr>
    </w:tblStylePr>
    <w:tblStylePr w:type="lastRow">
      <w:pPr>
        <w:spacing w:before="0" w:after="0" w:line="240" w:lineRule="auto"/>
      </w:pPr>
      <w:rPr>
        <w:b/>
        <w:bCs/>
      </w:rPr>
      <w:tblPr/>
      <w:tcPr>
        <w:tcBorders>
          <w:top w:val="single" w:color="1E9FD7" w:themeColor="accent3" w:sz="8" w:space="0"/>
          <w:left w:val="nil"/>
          <w:bottom w:val="single" w:color="1E9FD7"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8F6" w:themeFill="accent3" w:themeFillTint="3F"/>
      </w:tcPr>
    </w:tblStylePr>
    <w:tblStylePr w:type="band1Horz">
      <w:tblPr/>
      <w:tcPr>
        <w:tcBorders>
          <w:left w:val="nil"/>
          <w:right w:val="nil"/>
          <w:insideH w:val="nil"/>
          <w:insideV w:val="nil"/>
        </w:tcBorders>
        <w:shd w:val="clear" w:color="auto" w:fill="C5E8F6" w:themeFill="accent3" w:themeFillTint="3F"/>
      </w:tcPr>
    </w:tblStylePr>
  </w:style>
  <w:style w:type="table" w:styleId="159">
    <w:name w:val="Light Shading Accent 4"/>
    <w:basedOn w:val="16"/>
    <w:uiPriority w:val="60"/>
    <w:pPr>
      <w:spacing w:after="0" w:line="240" w:lineRule="auto"/>
    </w:pPr>
    <w:rPr>
      <w:color w:val="3B4FCC" w:themeColor="accent4" w:themeShade="BF"/>
    </w:rPr>
    <w:tblPr>
      <w:tblBorders>
        <w:top w:val="single" w:color="808DDE" w:themeColor="accent4" w:sz="8" w:space="0"/>
        <w:bottom w:val="single" w:color="808DDE" w:themeColor="accent4" w:sz="8" w:space="0"/>
      </w:tblBorders>
    </w:tblPr>
    <w:tblStylePr w:type="firstRow">
      <w:pPr>
        <w:spacing w:before="0" w:after="0" w:line="240" w:lineRule="auto"/>
      </w:pPr>
      <w:rPr>
        <w:b/>
        <w:bCs/>
      </w:rPr>
      <w:tblPr/>
      <w:tcPr>
        <w:tcBorders>
          <w:top w:val="single" w:color="808DDE" w:themeColor="accent4" w:sz="8" w:space="0"/>
          <w:left w:val="nil"/>
          <w:bottom w:val="single" w:color="808DDE" w:themeColor="accent4" w:sz="8" w:space="0"/>
          <w:right w:val="nil"/>
          <w:insideH w:val="nil"/>
          <w:insideV w:val="nil"/>
        </w:tcBorders>
      </w:tcPr>
    </w:tblStylePr>
    <w:tblStylePr w:type="lastRow">
      <w:pPr>
        <w:spacing w:before="0" w:after="0" w:line="240" w:lineRule="auto"/>
      </w:pPr>
      <w:rPr>
        <w:b/>
        <w:bCs/>
      </w:rPr>
      <w:tblPr/>
      <w:tcPr>
        <w:tcBorders>
          <w:top w:val="single" w:color="808DDE" w:themeColor="accent4" w:sz="8" w:space="0"/>
          <w:left w:val="nil"/>
          <w:bottom w:val="single" w:color="808DDE"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F6" w:themeFill="accent4" w:themeFillTint="3F"/>
      </w:tcPr>
    </w:tblStylePr>
    <w:tblStylePr w:type="band1Horz">
      <w:tblPr/>
      <w:tcPr>
        <w:tcBorders>
          <w:left w:val="nil"/>
          <w:right w:val="nil"/>
          <w:insideH w:val="nil"/>
          <w:insideV w:val="nil"/>
        </w:tcBorders>
        <w:shd w:val="clear" w:color="auto" w:fill="DFE2F6" w:themeFill="accent4" w:themeFillTint="3F"/>
      </w:tcPr>
    </w:tblStylePr>
  </w:style>
  <w:style w:type="table" w:styleId="160">
    <w:name w:val="Light Shading Accent 5"/>
    <w:basedOn w:val="16"/>
    <w:uiPriority w:val="60"/>
    <w:pPr>
      <w:spacing w:after="0" w:line="240" w:lineRule="auto"/>
    </w:pPr>
    <w:rPr>
      <w:color w:val="D61634" w:themeColor="accent5" w:themeShade="BF"/>
    </w:rPr>
    <w:tblPr>
      <w:tblBorders>
        <w:top w:val="single" w:color="ED4D66" w:themeColor="accent5" w:sz="8" w:space="0"/>
        <w:bottom w:val="single" w:color="ED4D66" w:themeColor="accent5" w:sz="8" w:space="0"/>
      </w:tblBorders>
    </w:tblPr>
    <w:tblStylePr w:type="firstRow">
      <w:pPr>
        <w:spacing w:before="0" w:after="0" w:line="240" w:lineRule="auto"/>
      </w:pPr>
      <w:rPr>
        <w:b/>
        <w:bCs/>
      </w:rPr>
      <w:tblPr/>
      <w:tcPr>
        <w:tcBorders>
          <w:top w:val="single" w:color="ED4D66" w:themeColor="accent5" w:sz="8" w:space="0"/>
          <w:left w:val="nil"/>
          <w:bottom w:val="single" w:color="ED4D66" w:themeColor="accent5" w:sz="8" w:space="0"/>
          <w:right w:val="nil"/>
          <w:insideH w:val="nil"/>
          <w:insideV w:val="nil"/>
        </w:tcBorders>
      </w:tcPr>
    </w:tblStylePr>
    <w:tblStylePr w:type="lastRow">
      <w:pPr>
        <w:spacing w:before="0" w:after="0" w:line="240" w:lineRule="auto"/>
      </w:pPr>
      <w:rPr>
        <w:b/>
        <w:bCs/>
      </w:rPr>
      <w:tblPr/>
      <w:tcPr>
        <w:tcBorders>
          <w:top w:val="single" w:color="ED4D66" w:themeColor="accent5" w:sz="8" w:space="0"/>
          <w:left w:val="nil"/>
          <w:bottom w:val="single" w:color="ED4D6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3D9" w:themeFill="accent5" w:themeFillTint="3F"/>
      </w:tcPr>
    </w:tblStylePr>
    <w:tblStylePr w:type="band1Horz">
      <w:tblPr/>
      <w:tcPr>
        <w:tcBorders>
          <w:left w:val="nil"/>
          <w:right w:val="nil"/>
          <w:insideH w:val="nil"/>
          <w:insideV w:val="nil"/>
        </w:tcBorders>
        <w:shd w:val="clear" w:color="auto" w:fill="FAD3D9" w:themeFill="accent5" w:themeFillTint="3F"/>
      </w:tcPr>
    </w:tblStylePr>
  </w:style>
  <w:style w:type="table" w:styleId="161">
    <w:name w:val="Light Shading Accent 6"/>
    <w:basedOn w:val="16"/>
    <w:uiPriority w:val="60"/>
    <w:pPr>
      <w:spacing w:after="0" w:line="240" w:lineRule="auto"/>
    </w:pPr>
    <w:rPr>
      <w:color w:val="DE9B17" w:themeColor="accent6" w:themeShade="BF"/>
    </w:rPr>
    <w:tblPr>
      <w:tblBorders>
        <w:top w:val="single" w:color="EEBC58" w:themeColor="accent6" w:sz="8" w:space="0"/>
        <w:bottom w:val="single" w:color="EEBC58" w:themeColor="accent6" w:sz="8" w:space="0"/>
      </w:tblBorders>
    </w:tblPr>
    <w:tblStylePr w:type="firstRow">
      <w:pPr>
        <w:spacing w:before="0" w:after="0" w:line="240" w:lineRule="auto"/>
      </w:pPr>
      <w:rPr>
        <w:b/>
        <w:bCs/>
      </w:rPr>
      <w:tblPr/>
      <w:tcPr>
        <w:tcBorders>
          <w:top w:val="single" w:color="EEBC58" w:themeColor="accent6" w:sz="8" w:space="0"/>
          <w:left w:val="nil"/>
          <w:bottom w:val="single" w:color="EEBC58" w:themeColor="accent6" w:sz="8" w:space="0"/>
          <w:right w:val="nil"/>
          <w:insideH w:val="nil"/>
          <w:insideV w:val="nil"/>
        </w:tcBorders>
      </w:tcPr>
    </w:tblStylePr>
    <w:tblStylePr w:type="lastRow">
      <w:pPr>
        <w:spacing w:before="0" w:after="0" w:line="240" w:lineRule="auto"/>
      </w:pPr>
      <w:rPr>
        <w:b/>
        <w:bCs/>
      </w:rPr>
      <w:tblPr/>
      <w:tcPr>
        <w:tcBorders>
          <w:top w:val="single" w:color="EEBC58" w:themeColor="accent6" w:sz="8" w:space="0"/>
          <w:left w:val="nil"/>
          <w:bottom w:val="single" w:color="EEBC58"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ED5" w:themeFill="accent6" w:themeFillTint="3F"/>
      </w:tcPr>
    </w:tblStylePr>
    <w:tblStylePr w:type="band1Horz">
      <w:tblPr/>
      <w:tcPr>
        <w:tcBorders>
          <w:left w:val="nil"/>
          <w:right w:val="nil"/>
          <w:insideH w:val="nil"/>
          <w:insideV w:val="nil"/>
        </w:tcBorders>
        <w:shd w:val="clear" w:color="auto" w:fill="FAEED5" w:themeFill="accent6" w:themeFillTint="3F"/>
      </w:tcPr>
    </w:tblStylePr>
  </w:style>
  <w:style w:type="table" w:styleId="162">
    <w:name w:val="Light List"/>
    <w:basedOn w:val="16"/>
    <w:uiPriority w:val="61"/>
    <w:pPr>
      <w:spacing w:after="0" w:line="240" w:lineRule="auto"/>
    </w:pPr>
    <w:tblPr>
      <w:tblBorders>
        <w:top w:val="single" w:color="152C46" w:themeColor="text1" w:sz="8" w:space="0"/>
        <w:left w:val="single" w:color="152C46" w:themeColor="text1" w:sz="8" w:space="0"/>
        <w:bottom w:val="single" w:color="152C46" w:themeColor="text1" w:sz="8" w:space="0"/>
        <w:right w:val="single" w:color="152C46"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52C46" w:themeFill="text1"/>
      </w:tcPr>
    </w:tblStylePr>
    <w:tblStylePr w:type="lastRow">
      <w:pPr>
        <w:spacing w:before="0" w:after="0" w:line="240" w:lineRule="auto"/>
      </w:pPr>
      <w:rPr>
        <w:b/>
        <w:bCs/>
      </w:rPr>
      <w:tblPr/>
      <w:tcPr>
        <w:tcBorders>
          <w:top w:val="double" w:color="152C46" w:themeColor="text1" w:sz="6" w:space="0"/>
          <w:left w:val="single" w:color="152C46" w:themeColor="text1" w:sz="8" w:space="0"/>
          <w:bottom w:val="single" w:color="152C46" w:themeColor="text1" w:sz="8" w:space="0"/>
          <w:right w:val="single" w:color="152C46" w:themeColor="text1" w:sz="8" w:space="0"/>
        </w:tcBorders>
      </w:tcPr>
    </w:tblStylePr>
    <w:tblStylePr w:type="firstCol">
      <w:rPr>
        <w:b/>
        <w:bCs/>
      </w:rPr>
    </w:tblStylePr>
    <w:tblStylePr w:type="lastCol">
      <w:rPr>
        <w:b/>
        <w:bCs/>
      </w:rPr>
    </w:tblStylePr>
    <w:tblStylePr w:type="band1Vert">
      <w:tblPr/>
      <w:tcPr>
        <w:tcBorders>
          <w:top w:val="single" w:color="152C46" w:themeColor="text1" w:sz="8" w:space="0"/>
          <w:left w:val="single" w:color="152C46" w:themeColor="text1" w:sz="8" w:space="0"/>
          <w:bottom w:val="single" w:color="152C46" w:themeColor="text1" w:sz="8" w:space="0"/>
          <w:right w:val="single" w:color="152C46" w:themeColor="text1" w:sz="8" w:space="0"/>
        </w:tcBorders>
      </w:tcPr>
    </w:tblStylePr>
    <w:tblStylePr w:type="band1Horz">
      <w:tblPr/>
      <w:tcPr>
        <w:tcBorders>
          <w:top w:val="single" w:color="152C46" w:themeColor="text1" w:sz="8" w:space="0"/>
          <w:left w:val="single" w:color="152C46" w:themeColor="text1" w:sz="8" w:space="0"/>
          <w:bottom w:val="single" w:color="152C46" w:themeColor="text1" w:sz="8" w:space="0"/>
          <w:right w:val="single" w:color="152C46" w:themeColor="text1" w:sz="8" w:space="0"/>
        </w:tcBorders>
      </w:tcPr>
    </w:tblStylePr>
  </w:style>
  <w:style w:type="table" w:styleId="163">
    <w:name w:val="Light List Accent 1"/>
    <w:basedOn w:val="16"/>
    <w:uiPriority w:val="61"/>
    <w:pPr>
      <w:spacing w:after="0" w:line="240" w:lineRule="auto"/>
    </w:pPr>
    <w:tblPr>
      <w:tblBorders>
        <w:top w:val="single" w:color="00E09E" w:themeColor="accent1" w:sz="8" w:space="0"/>
        <w:left w:val="single" w:color="00E09E" w:themeColor="accent1" w:sz="8" w:space="0"/>
        <w:bottom w:val="single" w:color="00E09E" w:themeColor="accent1" w:sz="8" w:space="0"/>
        <w:right w:val="single" w:color="00E09E"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E09E" w:themeFill="accent1"/>
      </w:tcPr>
    </w:tblStylePr>
    <w:tblStylePr w:type="lastRow">
      <w:pPr>
        <w:spacing w:before="0" w:after="0" w:line="240" w:lineRule="auto"/>
      </w:pPr>
      <w:rPr>
        <w:b/>
        <w:bCs/>
      </w:rPr>
      <w:tblPr/>
      <w:tcPr>
        <w:tcBorders>
          <w:top w:val="double" w:color="00E09E" w:themeColor="accent1" w:sz="6" w:space="0"/>
          <w:left w:val="single" w:color="00E09E" w:themeColor="accent1" w:sz="8" w:space="0"/>
          <w:bottom w:val="single" w:color="00E09E" w:themeColor="accent1" w:sz="8" w:space="0"/>
          <w:right w:val="single" w:color="00E09E" w:themeColor="accent1" w:sz="8" w:space="0"/>
        </w:tcBorders>
      </w:tcPr>
    </w:tblStylePr>
    <w:tblStylePr w:type="firstCol">
      <w:rPr>
        <w:b/>
        <w:bCs/>
      </w:rPr>
    </w:tblStylePr>
    <w:tblStylePr w:type="lastCol">
      <w:rPr>
        <w:b/>
        <w:bCs/>
      </w:rPr>
    </w:tblStylePr>
    <w:tblStylePr w:type="band1Vert">
      <w:tblPr/>
      <w:tcPr>
        <w:tcBorders>
          <w:top w:val="single" w:color="00E09E" w:themeColor="accent1" w:sz="8" w:space="0"/>
          <w:left w:val="single" w:color="00E09E" w:themeColor="accent1" w:sz="8" w:space="0"/>
          <w:bottom w:val="single" w:color="00E09E" w:themeColor="accent1" w:sz="8" w:space="0"/>
          <w:right w:val="single" w:color="00E09E" w:themeColor="accent1" w:sz="8" w:space="0"/>
        </w:tcBorders>
      </w:tcPr>
    </w:tblStylePr>
    <w:tblStylePr w:type="band1Horz">
      <w:tblPr/>
      <w:tcPr>
        <w:tcBorders>
          <w:top w:val="single" w:color="00E09E" w:themeColor="accent1" w:sz="8" w:space="0"/>
          <w:left w:val="single" w:color="00E09E" w:themeColor="accent1" w:sz="8" w:space="0"/>
          <w:bottom w:val="single" w:color="00E09E" w:themeColor="accent1" w:sz="8" w:space="0"/>
          <w:right w:val="single" w:color="00E09E" w:themeColor="accent1" w:sz="8" w:space="0"/>
        </w:tcBorders>
      </w:tcPr>
    </w:tblStylePr>
  </w:style>
  <w:style w:type="table" w:styleId="164">
    <w:name w:val="Light List Accent 2"/>
    <w:basedOn w:val="16"/>
    <w:uiPriority w:val="61"/>
    <w:pPr>
      <w:spacing w:after="0" w:line="240" w:lineRule="auto"/>
    </w:pPr>
    <w:tblPr>
      <w:tblBorders>
        <w:top w:val="single" w:color="41807F" w:themeColor="accent2" w:sz="8" w:space="0"/>
        <w:left w:val="single" w:color="41807F" w:themeColor="accent2" w:sz="8" w:space="0"/>
        <w:bottom w:val="single" w:color="41807F" w:themeColor="accent2" w:sz="8" w:space="0"/>
        <w:right w:val="single" w:color="41807F"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1807F" w:themeFill="accent2"/>
      </w:tcPr>
    </w:tblStylePr>
    <w:tblStylePr w:type="lastRow">
      <w:pPr>
        <w:spacing w:before="0" w:after="0" w:line="240" w:lineRule="auto"/>
      </w:pPr>
      <w:rPr>
        <w:b/>
        <w:bCs/>
      </w:rPr>
      <w:tblPr/>
      <w:tcPr>
        <w:tcBorders>
          <w:top w:val="double" w:color="41807F" w:themeColor="accent2" w:sz="6" w:space="0"/>
          <w:left w:val="single" w:color="41807F" w:themeColor="accent2" w:sz="8" w:space="0"/>
          <w:bottom w:val="single" w:color="41807F" w:themeColor="accent2" w:sz="8" w:space="0"/>
          <w:right w:val="single" w:color="41807F" w:themeColor="accent2" w:sz="8" w:space="0"/>
        </w:tcBorders>
      </w:tcPr>
    </w:tblStylePr>
    <w:tblStylePr w:type="firstCol">
      <w:rPr>
        <w:b/>
        <w:bCs/>
      </w:rPr>
    </w:tblStylePr>
    <w:tblStylePr w:type="lastCol">
      <w:rPr>
        <w:b/>
        <w:bCs/>
      </w:rPr>
    </w:tblStylePr>
    <w:tblStylePr w:type="band1Vert">
      <w:tblPr/>
      <w:tcPr>
        <w:tcBorders>
          <w:top w:val="single" w:color="41807F" w:themeColor="accent2" w:sz="8" w:space="0"/>
          <w:left w:val="single" w:color="41807F" w:themeColor="accent2" w:sz="8" w:space="0"/>
          <w:bottom w:val="single" w:color="41807F" w:themeColor="accent2" w:sz="8" w:space="0"/>
          <w:right w:val="single" w:color="41807F" w:themeColor="accent2" w:sz="8" w:space="0"/>
        </w:tcBorders>
      </w:tcPr>
    </w:tblStylePr>
    <w:tblStylePr w:type="band1Horz">
      <w:tblPr/>
      <w:tcPr>
        <w:tcBorders>
          <w:top w:val="single" w:color="41807F" w:themeColor="accent2" w:sz="8" w:space="0"/>
          <w:left w:val="single" w:color="41807F" w:themeColor="accent2" w:sz="8" w:space="0"/>
          <w:bottom w:val="single" w:color="41807F" w:themeColor="accent2" w:sz="8" w:space="0"/>
          <w:right w:val="single" w:color="41807F" w:themeColor="accent2" w:sz="8" w:space="0"/>
        </w:tcBorders>
      </w:tcPr>
    </w:tblStylePr>
  </w:style>
  <w:style w:type="table" w:styleId="165">
    <w:name w:val="Light List Accent 3"/>
    <w:basedOn w:val="16"/>
    <w:uiPriority w:val="61"/>
    <w:pPr>
      <w:spacing w:after="0" w:line="240" w:lineRule="auto"/>
    </w:pPr>
    <w:tblPr>
      <w:tblBorders>
        <w:top w:val="single" w:color="1E9FD7" w:themeColor="accent3" w:sz="8" w:space="0"/>
        <w:left w:val="single" w:color="1E9FD7" w:themeColor="accent3" w:sz="8" w:space="0"/>
        <w:bottom w:val="single" w:color="1E9FD7" w:themeColor="accent3" w:sz="8" w:space="0"/>
        <w:right w:val="single" w:color="1E9FD7"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E9FD7" w:themeFill="accent3"/>
      </w:tcPr>
    </w:tblStylePr>
    <w:tblStylePr w:type="lastRow">
      <w:pPr>
        <w:spacing w:before="0" w:after="0" w:line="240" w:lineRule="auto"/>
      </w:pPr>
      <w:rPr>
        <w:b/>
        <w:bCs/>
      </w:rPr>
      <w:tblPr/>
      <w:tcPr>
        <w:tcBorders>
          <w:top w:val="double" w:color="1E9FD7" w:themeColor="accent3" w:sz="6" w:space="0"/>
          <w:left w:val="single" w:color="1E9FD7" w:themeColor="accent3" w:sz="8" w:space="0"/>
          <w:bottom w:val="single" w:color="1E9FD7" w:themeColor="accent3" w:sz="8" w:space="0"/>
          <w:right w:val="single" w:color="1E9FD7" w:themeColor="accent3" w:sz="8" w:space="0"/>
        </w:tcBorders>
      </w:tcPr>
    </w:tblStylePr>
    <w:tblStylePr w:type="firstCol">
      <w:rPr>
        <w:b/>
        <w:bCs/>
      </w:rPr>
    </w:tblStylePr>
    <w:tblStylePr w:type="lastCol">
      <w:rPr>
        <w:b/>
        <w:bCs/>
      </w:rPr>
    </w:tblStylePr>
    <w:tblStylePr w:type="band1Vert">
      <w:tblPr/>
      <w:tcPr>
        <w:tcBorders>
          <w:top w:val="single" w:color="1E9FD7" w:themeColor="accent3" w:sz="8" w:space="0"/>
          <w:left w:val="single" w:color="1E9FD7" w:themeColor="accent3" w:sz="8" w:space="0"/>
          <w:bottom w:val="single" w:color="1E9FD7" w:themeColor="accent3" w:sz="8" w:space="0"/>
          <w:right w:val="single" w:color="1E9FD7" w:themeColor="accent3" w:sz="8" w:space="0"/>
        </w:tcBorders>
      </w:tcPr>
    </w:tblStylePr>
    <w:tblStylePr w:type="band1Horz">
      <w:tblPr/>
      <w:tcPr>
        <w:tcBorders>
          <w:top w:val="single" w:color="1E9FD7" w:themeColor="accent3" w:sz="8" w:space="0"/>
          <w:left w:val="single" w:color="1E9FD7" w:themeColor="accent3" w:sz="8" w:space="0"/>
          <w:bottom w:val="single" w:color="1E9FD7" w:themeColor="accent3" w:sz="8" w:space="0"/>
          <w:right w:val="single" w:color="1E9FD7" w:themeColor="accent3" w:sz="8" w:space="0"/>
        </w:tcBorders>
      </w:tcPr>
    </w:tblStylePr>
  </w:style>
  <w:style w:type="table" w:styleId="166">
    <w:name w:val="Light List Accent 4"/>
    <w:basedOn w:val="16"/>
    <w:uiPriority w:val="61"/>
    <w:pPr>
      <w:spacing w:after="0" w:line="240" w:lineRule="auto"/>
    </w:pPr>
    <w:tblPr>
      <w:tblBorders>
        <w:top w:val="single" w:color="808DDE" w:themeColor="accent4" w:sz="8" w:space="0"/>
        <w:left w:val="single" w:color="808DDE" w:themeColor="accent4" w:sz="8" w:space="0"/>
        <w:bottom w:val="single" w:color="808DDE" w:themeColor="accent4" w:sz="8" w:space="0"/>
        <w:right w:val="single" w:color="808DDE"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8DDE" w:themeFill="accent4"/>
      </w:tcPr>
    </w:tblStylePr>
    <w:tblStylePr w:type="lastRow">
      <w:pPr>
        <w:spacing w:before="0" w:after="0" w:line="240" w:lineRule="auto"/>
      </w:pPr>
      <w:rPr>
        <w:b/>
        <w:bCs/>
      </w:rPr>
      <w:tblPr/>
      <w:tcPr>
        <w:tcBorders>
          <w:top w:val="double" w:color="808DDE" w:themeColor="accent4" w:sz="6" w:space="0"/>
          <w:left w:val="single" w:color="808DDE" w:themeColor="accent4" w:sz="8" w:space="0"/>
          <w:bottom w:val="single" w:color="808DDE" w:themeColor="accent4" w:sz="8" w:space="0"/>
          <w:right w:val="single" w:color="808DDE" w:themeColor="accent4" w:sz="8" w:space="0"/>
        </w:tcBorders>
      </w:tcPr>
    </w:tblStylePr>
    <w:tblStylePr w:type="firstCol">
      <w:rPr>
        <w:b/>
        <w:bCs/>
      </w:rPr>
    </w:tblStylePr>
    <w:tblStylePr w:type="lastCol">
      <w:rPr>
        <w:b/>
        <w:bCs/>
      </w:rPr>
    </w:tblStylePr>
    <w:tblStylePr w:type="band1Vert">
      <w:tblPr/>
      <w:tcPr>
        <w:tcBorders>
          <w:top w:val="single" w:color="808DDE" w:themeColor="accent4" w:sz="8" w:space="0"/>
          <w:left w:val="single" w:color="808DDE" w:themeColor="accent4" w:sz="8" w:space="0"/>
          <w:bottom w:val="single" w:color="808DDE" w:themeColor="accent4" w:sz="8" w:space="0"/>
          <w:right w:val="single" w:color="808DDE" w:themeColor="accent4" w:sz="8" w:space="0"/>
        </w:tcBorders>
      </w:tcPr>
    </w:tblStylePr>
    <w:tblStylePr w:type="band1Horz">
      <w:tblPr/>
      <w:tcPr>
        <w:tcBorders>
          <w:top w:val="single" w:color="808DDE" w:themeColor="accent4" w:sz="8" w:space="0"/>
          <w:left w:val="single" w:color="808DDE" w:themeColor="accent4" w:sz="8" w:space="0"/>
          <w:bottom w:val="single" w:color="808DDE" w:themeColor="accent4" w:sz="8" w:space="0"/>
          <w:right w:val="single" w:color="808DDE" w:themeColor="accent4" w:sz="8" w:space="0"/>
        </w:tcBorders>
      </w:tcPr>
    </w:tblStylePr>
  </w:style>
  <w:style w:type="table" w:styleId="167">
    <w:name w:val="Light List Accent 5"/>
    <w:basedOn w:val="16"/>
    <w:uiPriority w:val="61"/>
    <w:pPr>
      <w:spacing w:after="0" w:line="240" w:lineRule="auto"/>
    </w:pPr>
    <w:tblPr>
      <w:tblBorders>
        <w:top w:val="single" w:color="ED4D66" w:themeColor="accent5" w:sz="8" w:space="0"/>
        <w:left w:val="single" w:color="ED4D66" w:themeColor="accent5" w:sz="8" w:space="0"/>
        <w:bottom w:val="single" w:color="ED4D66" w:themeColor="accent5" w:sz="8" w:space="0"/>
        <w:right w:val="single" w:color="ED4D6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4D66" w:themeFill="accent5"/>
      </w:tcPr>
    </w:tblStylePr>
    <w:tblStylePr w:type="lastRow">
      <w:pPr>
        <w:spacing w:before="0" w:after="0" w:line="240" w:lineRule="auto"/>
      </w:pPr>
      <w:rPr>
        <w:b/>
        <w:bCs/>
      </w:rPr>
      <w:tblPr/>
      <w:tcPr>
        <w:tcBorders>
          <w:top w:val="double" w:color="ED4D66" w:themeColor="accent5" w:sz="6" w:space="0"/>
          <w:left w:val="single" w:color="ED4D66" w:themeColor="accent5" w:sz="8" w:space="0"/>
          <w:bottom w:val="single" w:color="ED4D66" w:themeColor="accent5" w:sz="8" w:space="0"/>
          <w:right w:val="single" w:color="ED4D66" w:themeColor="accent5" w:sz="8" w:space="0"/>
        </w:tcBorders>
      </w:tcPr>
    </w:tblStylePr>
    <w:tblStylePr w:type="firstCol">
      <w:rPr>
        <w:b/>
        <w:bCs/>
      </w:rPr>
    </w:tblStylePr>
    <w:tblStylePr w:type="lastCol">
      <w:rPr>
        <w:b/>
        <w:bCs/>
      </w:rPr>
    </w:tblStylePr>
    <w:tblStylePr w:type="band1Vert">
      <w:tblPr/>
      <w:tcPr>
        <w:tcBorders>
          <w:top w:val="single" w:color="ED4D66" w:themeColor="accent5" w:sz="8" w:space="0"/>
          <w:left w:val="single" w:color="ED4D66" w:themeColor="accent5" w:sz="8" w:space="0"/>
          <w:bottom w:val="single" w:color="ED4D66" w:themeColor="accent5" w:sz="8" w:space="0"/>
          <w:right w:val="single" w:color="ED4D66" w:themeColor="accent5" w:sz="8" w:space="0"/>
        </w:tcBorders>
      </w:tcPr>
    </w:tblStylePr>
    <w:tblStylePr w:type="band1Horz">
      <w:tblPr/>
      <w:tcPr>
        <w:tcBorders>
          <w:top w:val="single" w:color="ED4D66" w:themeColor="accent5" w:sz="8" w:space="0"/>
          <w:left w:val="single" w:color="ED4D66" w:themeColor="accent5" w:sz="8" w:space="0"/>
          <w:bottom w:val="single" w:color="ED4D66" w:themeColor="accent5" w:sz="8" w:space="0"/>
          <w:right w:val="single" w:color="ED4D66" w:themeColor="accent5" w:sz="8" w:space="0"/>
        </w:tcBorders>
      </w:tcPr>
    </w:tblStylePr>
  </w:style>
  <w:style w:type="table" w:styleId="168">
    <w:name w:val="Light List Accent 6"/>
    <w:basedOn w:val="16"/>
    <w:uiPriority w:val="61"/>
    <w:pPr>
      <w:spacing w:after="0" w:line="240" w:lineRule="auto"/>
    </w:pPr>
    <w:tblPr>
      <w:tblBorders>
        <w:top w:val="single" w:color="EEBC58" w:themeColor="accent6" w:sz="8" w:space="0"/>
        <w:left w:val="single" w:color="EEBC58" w:themeColor="accent6" w:sz="8" w:space="0"/>
        <w:bottom w:val="single" w:color="EEBC58" w:themeColor="accent6" w:sz="8" w:space="0"/>
        <w:right w:val="single" w:color="EEBC58"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EBC58" w:themeFill="accent6"/>
      </w:tcPr>
    </w:tblStylePr>
    <w:tblStylePr w:type="lastRow">
      <w:pPr>
        <w:spacing w:before="0" w:after="0" w:line="240" w:lineRule="auto"/>
      </w:pPr>
      <w:rPr>
        <w:b/>
        <w:bCs/>
      </w:rPr>
      <w:tblPr/>
      <w:tcPr>
        <w:tcBorders>
          <w:top w:val="double" w:color="EEBC58" w:themeColor="accent6" w:sz="6" w:space="0"/>
          <w:left w:val="single" w:color="EEBC58" w:themeColor="accent6" w:sz="8" w:space="0"/>
          <w:bottom w:val="single" w:color="EEBC58" w:themeColor="accent6" w:sz="8" w:space="0"/>
          <w:right w:val="single" w:color="EEBC58" w:themeColor="accent6" w:sz="8" w:space="0"/>
        </w:tcBorders>
      </w:tcPr>
    </w:tblStylePr>
    <w:tblStylePr w:type="firstCol">
      <w:rPr>
        <w:b/>
        <w:bCs/>
      </w:rPr>
    </w:tblStylePr>
    <w:tblStylePr w:type="lastCol">
      <w:rPr>
        <w:b/>
        <w:bCs/>
      </w:rPr>
    </w:tblStylePr>
    <w:tblStylePr w:type="band1Vert">
      <w:tblPr/>
      <w:tcPr>
        <w:tcBorders>
          <w:top w:val="single" w:color="EEBC58" w:themeColor="accent6" w:sz="8" w:space="0"/>
          <w:left w:val="single" w:color="EEBC58" w:themeColor="accent6" w:sz="8" w:space="0"/>
          <w:bottom w:val="single" w:color="EEBC58" w:themeColor="accent6" w:sz="8" w:space="0"/>
          <w:right w:val="single" w:color="EEBC58" w:themeColor="accent6" w:sz="8" w:space="0"/>
        </w:tcBorders>
      </w:tcPr>
    </w:tblStylePr>
    <w:tblStylePr w:type="band1Horz">
      <w:tblPr/>
      <w:tcPr>
        <w:tcBorders>
          <w:top w:val="single" w:color="EEBC58" w:themeColor="accent6" w:sz="8" w:space="0"/>
          <w:left w:val="single" w:color="EEBC58" w:themeColor="accent6" w:sz="8" w:space="0"/>
          <w:bottom w:val="single" w:color="EEBC58" w:themeColor="accent6" w:sz="8" w:space="0"/>
          <w:right w:val="single" w:color="EEBC58" w:themeColor="accent6" w:sz="8" w:space="0"/>
        </w:tcBorders>
      </w:tcPr>
    </w:tblStylePr>
  </w:style>
  <w:style w:type="table" w:styleId="169">
    <w:name w:val="Light Grid"/>
    <w:basedOn w:val="16"/>
    <w:uiPriority w:val="62"/>
    <w:pPr>
      <w:spacing w:after="0" w:line="240" w:lineRule="auto"/>
    </w:pPr>
    <w:tblPr>
      <w:tblBorders>
        <w:top w:val="single" w:color="152C46" w:themeColor="text1" w:sz="8" w:space="0"/>
        <w:left w:val="single" w:color="152C46" w:themeColor="text1" w:sz="8" w:space="0"/>
        <w:bottom w:val="single" w:color="152C46" w:themeColor="text1" w:sz="8" w:space="0"/>
        <w:right w:val="single" w:color="152C46" w:themeColor="text1" w:sz="8" w:space="0"/>
        <w:insideH w:val="single" w:color="152C46" w:themeColor="text1" w:sz="8" w:space="0"/>
        <w:insideV w:val="single" w:color="152C46"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2C46" w:themeColor="text1" w:sz="8" w:space="0"/>
          <w:left w:val="single" w:color="152C46" w:themeColor="text1" w:sz="8" w:space="0"/>
          <w:bottom w:val="single" w:color="152C46" w:themeColor="text1" w:sz="18" w:space="0"/>
          <w:right w:val="single" w:color="152C46"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2C46" w:themeColor="text1" w:sz="6" w:space="0"/>
          <w:left w:val="single" w:color="152C46" w:themeColor="text1" w:sz="8" w:space="0"/>
          <w:bottom w:val="single" w:color="152C46" w:themeColor="text1" w:sz="8" w:space="0"/>
          <w:right w:val="single" w:color="152C46"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2C46" w:themeColor="text1" w:sz="8" w:space="0"/>
          <w:left w:val="single" w:color="152C46" w:themeColor="text1" w:sz="8" w:space="0"/>
          <w:bottom w:val="single" w:color="152C46" w:themeColor="text1" w:sz="8" w:space="0"/>
          <w:right w:val="single" w:color="152C46" w:themeColor="text1" w:sz="8" w:space="0"/>
        </w:tcBorders>
      </w:tcPr>
    </w:tblStylePr>
    <w:tblStylePr w:type="band1Vert">
      <w:tblPr/>
      <w:tcPr>
        <w:tcBorders>
          <w:top w:val="single" w:color="152C46" w:themeColor="text1" w:sz="8" w:space="0"/>
          <w:left w:val="single" w:color="152C46" w:themeColor="text1" w:sz="8" w:space="0"/>
          <w:bottom w:val="single" w:color="152C46" w:themeColor="text1" w:sz="8" w:space="0"/>
          <w:right w:val="single" w:color="152C46" w:themeColor="text1" w:sz="8" w:space="0"/>
        </w:tcBorders>
        <w:shd w:val="clear" w:color="auto" w:fill="AFC9E7" w:themeFill="text1" w:themeFillTint="3F"/>
      </w:tcPr>
    </w:tblStylePr>
    <w:tblStylePr w:type="band1Horz">
      <w:tblPr/>
      <w:tcPr>
        <w:tcBorders>
          <w:top w:val="single" w:color="152C46" w:themeColor="text1" w:sz="8" w:space="0"/>
          <w:left w:val="single" w:color="152C46" w:themeColor="text1" w:sz="8" w:space="0"/>
          <w:bottom w:val="single" w:color="152C46" w:themeColor="text1" w:sz="8" w:space="0"/>
          <w:right w:val="single" w:color="152C46" w:themeColor="text1" w:sz="8" w:space="0"/>
          <w:insideV w:val="single" w:sz="8" w:space="0"/>
        </w:tcBorders>
        <w:shd w:val="clear" w:color="auto" w:fill="AFC9E7" w:themeFill="text1" w:themeFillTint="3F"/>
      </w:tcPr>
    </w:tblStylePr>
    <w:tblStylePr w:type="band2Horz">
      <w:tblPr/>
      <w:tcPr>
        <w:tcBorders>
          <w:top w:val="single" w:color="152C46" w:themeColor="text1" w:sz="8" w:space="0"/>
          <w:left w:val="single" w:color="152C46" w:themeColor="text1" w:sz="8" w:space="0"/>
          <w:bottom w:val="single" w:color="152C46" w:themeColor="text1" w:sz="8" w:space="0"/>
          <w:right w:val="single" w:color="152C46" w:themeColor="text1" w:sz="8" w:space="0"/>
          <w:insideV w:val="single" w:sz="8" w:space="0"/>
        </w:tcBorders>
      </w:tcPr>
    </w:tblStylePr>
  </w:style>
  <w:style w:type="table" w:styleId="170">
    <w:name w:val="Light Grid Accent 1"/>
    <w:basedOn w:val="16"/>
    <w:uiPriority w:val="62"/>
    <w:pPr>
      <w:spacing w:after="0" w:line="240" w:lineRule="auto"/>
    </w:pPr>
    <w:tblPr>
      <w:tblBorders>
        <w:top w:val="single" w:color="00E09E" w:themeColor="accent1" w:sz="8" w:space="0"/>
        <w:left w:val="single" w:color="00E09E" w:themeColor="accent1" w:sz="8" w:space="0"/>
        <w:bottom w:val="single" w:color="00E09E" w:themeColor="accent1" w:sz="8" w:space="0"/>
        <w:right w:val="single" w:color="00E09E" w:themeColor="accent1" w:sz="8" w:space="0"/>
        <w:insideH w:val="single" w:color="00E09E" w:themeColor="accent1" w:sz="8" w:space="0"/>
        <w:insideV w:val="single" w:color="00E09E"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E09E" w:themeColor="accent1" w:sz="8" w:space="0"/>
          <w:left w:val="single" w:color="00E09E" w:themeColor="accent1" w:sz="8" w:space="0"/>
          <w:bottom w:val="single" w:color="00E09E" w:themeColor="accent1" w:sz="18" w:space="0"/>
          <w:right w:val="single" w:color="00E09E"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E09E" w:themeColor="accent1" w:sz="6" w:space="0"/>
          <w:left w:val="single" w:color="00E09E" w:themeColor="accent1" w:sz="8" w:space="0"/>
          <w:bottom w:val="single" w:color="00E09E" w:themeColor="accent1" w:sz="8" w:space="0"/>
          <w:right w:val="single" w:color="00E09E"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E09E" w:themeColor="accent1" w:sz="8" w:space="0"/>
          <w:left w:val="single" w:color="00E09E" w:themeColor="accent1" w:sz="8" w:space="0"/>
          <w:bottom w:val="single" w:color="00E09E" w:themeColor="accent1" w:sz="8" w:space="0"/>
          <w:right w:val="single" w:color="00E09E" w:themeColor="accent1" w:sz="8" w:space="0"/>
        </w:tcBorders>
      </w:tcPr>
    </w:tblStylePr>
    <w:tblStylePr w:type="band1Vert">
      <w:tblPr/>
      <w:tcPr>
        <w:tcBorders>
          <w:top w:val="single" w:color="00E09E" w:themeColor="accent1" w:sz="8" w:space="0"/>
          <w:left w:val="single" w:color="00E09E" w:themeColor="accent1" w:sz="8" w:space="0"/>
          <w:bottom w:val="single" w:color="00E09E" w:themeColor="accent1" w:sz="8" w:space="0"/>
          <w:right w:val="single" w:color="00E09E" w:themeColor="accent1" w:sz="8" w:space="0"/>
        </w:tcBorders>
        <w:shd w:val="clear" w:color="auto" w:fill="B8FFEA" w:themeFill="accent1" w:themeFillTint="3F"/>
      </w:tcPr>
    </w:tblStylePr>
    <w:tblStylePr w:type="band1Horz">
      <w:tblPr/>
      <w:tcPr>
        <w:tcBorders>
          <w:top w:val="single" w:color="00E09E" w:themeColor="accent1" w:sz="8" w:space="0"/>
          <w:left w:val="single" w:color="00E09E" w:themeColor="accent1" w:sz="8" w:space="0"/>
          <w:bottom w:val="single" w:color="00E09E" w:themeColor="accent1" w:sz="8" w:space="0"/>
          <w:right w:val="single" w:color="00E09E" w:themeColor="accent1" w:sz="8" w:space="0"/>
          <w:insideV w:val="single" w:sz="8" w:space="0"/>
        </w:tcBorders>
        <w:shd w:val="clear" w:color="auto" w:fill="B8FFEA" w:themeFill="accent1" w:themeFillTint="3F"/>
      </w:tcPr>
    </w:tblStylePr>
    <w:tblStylePr w:type="band2Horz">
      <w:tblPr/>
      <w:tcPr>
        <w:tcBorders>
          <w:top w:val="single" w:color="00E09E" w:themeColor="accent1" w:sz="8" w:space="0"/>
          <w:left w:val="single" w:color="00E09E" w:themeColor="accent1" w:sz="8" w:space="0"/>
          <w:bottom w:val="single" w:color="00E09E" w:themeColor="accent1" w:sz="8" w:space="0"/>
          <w:right w:val="single" w:color="00E09E" w:themeColor="accent1" w:sz="8" w:space="0"/>
          <w:insideV w:val="single" w:sz="8" w:space="0"/>
        </w:tcBorders>
      </w:tcPr>
    </w:tblStylePr>
  </w:style>
  <w:style w:type="table" w:styleId="171">
    <w:name w:val="Light Grid Accent 2"/>
    <w:basedOn w:val="16"/>
    <w:uiPriority w:val="62"/>
    <w:pPr>
      <w:spacing w:after="0" w:line="240" w:lineRule="auto"/>
    </w:pPr>
    <w:tblPr>
      <w:tblBorders>
        <w:top w:val="single" w:color="41807F" w:themeColor="accent2" w:sz="8" w:space="0"/>
        <w:left w:val="single" w:color="41807F" w:themeColor="accent2" w:sz="8" w:space="0"/>
        <w:bottom w:val="single" w:color="41807F" w:themeColor="accent2" w:sz="8" w:space="0"/>
        <w:right w:val="single" w:color="41807F" w:themeColor="accent2" w:sz="8" w:space="0"/>
        <w:insideH w:val="single" w:color="41807F" w:themeColor="accent2" w:sz="8" w:space="0"/>
        <w:insideV w:val="single" w:color="41807F"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1807F" w:themeColor="accent2" w:sz="8" w:space="0"/>
          <w:left w:val="single" w:color="41807F" w:themeColor="accent2" w:sz="8" w:space="0"/>
          <w:bottom w:val="single" w:color="41807F" w:themeColor="accent2" w:sz="18" w:space="0"/>
          <w:right w:val="single" w:color="41807F"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1807F" w:themeColor="accent2" w:sz="6" w:space="0"/>
          <w:left w:val="single" w:color="41807F" w:themeColor="accent2" w:sz="8" w:space="0"/>
          <w:bottom w:val="single" w:color="41807F" w:themeColor="accent2" w:sz="8" w:space="0"/>
          <w:right w:val="single" w:color="41807F"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1807F" w:themeColor="accent2" w:sz="8" w:space="0"/>
          <w:left w:val="single" w:color="41807F" w:themeColor="accent2" w:sz="8" w:space="0"/>
          <w:bottom w:val="single" w:color="41807F" w:themeColor="accent2" w:sz="8" w:space="0"/>
          <w:right w:val="single" w:color="41807F" w:themeColor="accent2" w:sz="8" w:space="0"/>
        </w:tcBorders>
      </w:tcPr>
    </w:tblStylePr>
    <w:tblStylePr w:type="band1Vert">
      <w:tblPr/>
      <w:tcPr>
        <w:tcBorders>
          <w:top w:val="single" w:color="41807F" w:themeColor="accent2" w:sz="8" w:space="0"/>
          <w:left w:val="single" w:color="41807F" w:themeColor="accent2" w:sz="8" w:space="0"/>
          <w:bottom w:val="single" w:color="41807F" w:themeColor="accent2" w:sz="8" w:space="0"/>
          <w:right w:val="single" w:color="41807F" w:themeColor="accent2" w:sz="8" w:space="0"/>
        </w:tcBorders>
        <w:shd w:val="clear" w:color="auto" w:fill="CBE4E4" w:themeFill="accent2" w:themeFillTint="3F"/>
      </w:tcPr>
    </w:tblStylePr>
    <w:tblStylePr w:type="band1Horz">
      <w:tblPr/>
      <w:tcPr>
        <w:tcBorders>
          <w:top w:val="single" w:color="41807F" w:themeColor="accent2" w:sz="8" w:space="0"/>
          <w:left w:val="single" w:color="41807F" w:themeColor="accent2" w:sz="8" w:space="0"/>
          <w:bottom w:val="single" w:color="41807F" w:themeColor="accent2" w:sz="8" w:space="0"/>
          <w:right w:val="single" w:color="41807F" w:themeColor="accent2" w:sz="8" w:space="0"/>
          <w:insideV w:val="single" w:sz="8" w:space="0"/>
        </w:tcBorders>
        <w:shd w:val="clear" w:color="auto" w:fill="CBE4E4" w:themeFill="accent2" w:themeFillTint="3F"/>
      </w:tcPr>
    </w:tblStylePr>
    <w:tblStylePr w:type="band2Horz">
      <w:tblPr/>
      <w:tcPr>
        <w:tcBorders>
          <w:top w:val="single" w:color="41807F" w:themeColor="accent2" w:sz="8" w:space="0"/>
          <w:left w:val="single" w:color="41807F" w:themeColor="accent2" w:sz="8" w:space="0"/>
          <w:bottom w:val="single" w:color="41807F" w:themeColor="accent2" w:sz="8" w:space="0"/>
          <w:right w:val="single" w:color="41807F" w:themeColor="accent2" w:sz="8" w:space="0"/>
          <w:insideV w:val="single" w:sz="8" w:space="0"/>
        </w:tcBorders>
      </w:tcPr>
    </w:tblStylePr>
  </w:style>
  <w:style w:type="table" w:styleId="172">
    <w:name w:val="Light Grid Accent 3"/>
    <w:basedOn w:val="16"/>
    <w:uiPriority w:val="62"/>
    <w:pPr>
      <w:spacing w:after="0" w:line="240" w:lineRule="auto"/>
    </w:pPr>
    <w:tblPr>
      <w:tblBorders>
        <w:top w:val="single" w:color="1E9FD7" w:themeColor="accent3" w:sz="8" w:space="0"/>
        <w:left w:val="single" w:color="1E9FD7" w:themeColor="accent3" w:sz="8" w:space="0"/>
        <w:bottom w:val="single" w:color="1E9FD7" w:themeColor="accent3" w:sz="8" w:space="0"/>
        <w:right w:val="single" w:color="1E9FD7" w:themeColor="accent3" w:sz="8" w:space="0"/>
        <w:insideH w:val="single" w:color="1E9FD7" w:themeColor="accent3" w:sz="8" w:space="0"/>
        <w:insideV w:val="single" w:color="1E9FD7"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E9FD7" w:themeColor="accent3" w:sz="8" w:space="0"/>
          <w:left w:val="single" w:color="1E9FD7" w:themeColor="accent3" w:sz="8" w:space="0"/>
          <w:bottom w:val="single" w:color="1E9FD7" w:themeColor="accent3" w:sz="18" w:space="0"/>
          <w:right w:val="single" w:color="1E9FD7"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E9FD7" w:themeColor="accent3" w:sz="6" w:space="0"/>
          <w:left w:val="single" w:color="1E9FD7" w:themeColor="accent3" w:sz="8" w:space="0"/>
          <w:bottom w:val="single" w:color="1E9FD7" w:themeColor="accent3" w:sz="8" w:space="0"/>
          <w:right w:val="single" w:color="1E9FD7"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E9FD7" w:themeColor="accent3" w:sz="8" w:space="0"/>
          <w:left w:val="single" w:color="1E9FD7" w:themeColor="accent3" w:sz="8" w:space="0"/>
          <w:bottom w:val="single" w:color="1E9FD7" w:themeColor="accent3" w:sz="8" w:space="0"/>
          <w:right w:val="single" w:color="1E9FD7" w:themeColor="accent3" w:sz="8" w:space="0"/>
        </w:tcBorders>
      </w:tcPr>
    </w:tblStylePr>
    <w:tblStylePr w:type="band1Vert">
      <w:tblPr/>
      <w:tcPr>
        <w:tcBorders>
          <w:top w:val="single" w:color="1E9FD7" w:themeColor="accent3" w:sz="8" w:space="0"/>
          <w:left w:val="single" w:color="1E9FD7" w:themeColor="accent3" w:sz="8" w:space="0"/>
          <w:bottom w:val="single" w:color="1E9FD7" w:themeColor="accent3" w:sz="8" w:space="0"/>
          <w:right w:val="single" w:color="1E9FD7" w:themeColor="accent3" w:sz="8" w:space="0"/>
        </w:tcBorders>
        <w:shd w:val="clear" w:color="auto" w:fill="C5E8F6" w:themeFill="accent3" w:themeFillTint="3F"/>
      </w:tcPr>
    </w:tblStylePr>
    <w:tblStylePr w:type="band1Horz">
      <w:tblPr/>
      <w:tcPr>
        <w:tcBorders>
          <w:top w:val="single" w:color="1E9FD7" w:themeColor="accent3" w:sz="8" w:space="0"/>
          <w:left w:val="single" w:color="1E9FD7" w:themeColor="accent3" w:sz="8" w:space="0"/>
          <w:bottom w:val="single" w:color="1E9FD7" w:themeColor="accent3" w:sz="8" w:space="0"/>
          <w:right w:val="single" w:color="1E9FD7" w:themeColor="accent3" w:sz="8" w:space="0"/>
          <w:insideV w:val="single" w:sz="8" w:space="0"/>
        </w:tcBorders>
        <w:shd w:val="clear" w:color="auto" w:fill="C5E8F6" w:themeFill="accent3" w:themeFillTint="3F"/>
      </w:tcPr>
    </w:tblStylePr>
    <w:tblStylePr w:type="band2Horz">
      <w:tblPr/>
      <w:tcPr>
        <w:tcBorders>
          <w:top w:val="single" w:color="1E9FD7" w:themeColor="accent3" w:sz="8" w:space="0"/>
          <w:left w:val="single" w:color="1E9FD7" w:themeColor="accent3" w:sz="8" w:space="0"/>
          <w:bottom w:val="single" w:color="1E9FD7" w:themeColor="accent3" w:sz="8" w:space="0"/>
          <w:right w:val="single" w:color="1E9FD7" w:themeColor="accent3" w:sz="8" w:space="0"/>
          <w:insideV w:val="single" w:sz="8" w:space="0"/>
        </w:tcBorders>
      </w:tcPr>
    </w:tblStylePr>
  </w:style>
  <w:style w:type="table" w:styleId="173">
    <w:name w:val="Light Grid Accent 4"/>
    <w:basedOn w:val="16"/>
    <w:uiPriority w:val="62"/>
    <w:pPr>
      <w:spacing w:after="0" w:line="240" w:lineRule="auto"/>
    </w:pPr>
    <w:tblPr>
      <w:tblBorders>
        <w:top w:val="single" w:color="808DDE" w:themeColor="accent4" w:sz="8" w:space="0"/>
        <w:left w:val="single" w:color="808DDE" w:themeColor="accent4" w:sz="8" w:space="0"/>
        <w:bottom w:val="single" w:color="808DDE" w:themeColor="accent4" w:sz="8" w:space="0"/>
        <w:right w:val="single" w:color="808DDE" w:themeColor="accent4" w:sz="8" w:space="0"/>
        <w:insideH w:val="single" w:color="808DDE" w:themeColor="accent4" w:sz="8" w:space="0"/>
        <w:insideV w:val="single" w:color="808DDE"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8DDE" w:themeColor="accent4" w:sz="8" w:space="0"/>
          <w:left w:val="single" w:color="808DDE" w:themeColor="accent4" w:sz="8" w:space="0"/>
          <w:bottom w:val="single" w:color="808DDE" w:themeColor="accent4" w:sz="18" w:space="0"/>
          <w:right w:val="single" w:color="808DDE"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8DDE" w:themeColor="accent4" w:sz="6" w:space="0"/>
          <w:left w:val="single" w:color="808DDE" w:themeColor="accent4" w:sz="8" w:space="0"/>
          <w:bottom w:val="single" w:color="808DDE" w:themeColor="accent4" w:sz="8" w:space="0"/>
          <w:right w:val="single" w:color="808DDE"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8DDE" w:themeColor="accent4" w:sz="8" w:space="0"/>
          <w:left w:val="single" w:color="808DDE" w:themeColor="accent4" w:sz="8" w:space="0"/>
          <w:bottom w:val="single" w:color="808DDE" w:themeColor="accent4" w:sz="8" w:space="0"/>
          <w:right w:val="single" w:color="808DDE" w:themeColor="accent4" w:sz="8" w:space="0"/>
        </w:tcBorders>
      </w:tcPr>
    </w:tblStylePr>
    <w:tblStylePr w:type="band1Vert">
      <w:tblPr/>
      <w:tcPr>
        <w:tcBorders>
          <w:top w:val="single" w:color="808DDE" w:themeColor="accent4" w:sz="8" w:space="0"/>
          <w:left w:val="single" w:color="808DDE" w:themeColor="accent4" w:sz="8" w:space="0"/>
          <w:bottom w:val="single" w:color="808DDE" w:themeColor="accent4" w:sz="8" w:space="0"/>
          <w:right w:val="single" w:color="808DDE" w:themeColor="accent4" w:sz="8" w:space="0"/>
        </w:tcBorders>
        <w:shd w:val="clear" w:color="auto" w:fill="DFE2F6" w:themeFill="accent4" w:themeFillTint="3F"/>
      </w:tcPr>
    </w:tblStylePr>
    <w:tblStylePr w:type="band1Horz">
      <w:tblPr/>
      <w:tcPr>
        <w:tcBorders>
          <w:top w:val="single" w:color="808DDE" w:themeColor="accent4" w:sz="8" w:space="0"/>
          <w:left w:val="single" w:color="808DDE" w:themeColor="accent4" w:sz="8" w:space="0"/>
          <w:bottom w:val="single" w:color="808DDE" w:themeColor="accent4" w:sz="8" w:space="0"/>
          <w:right w:val="single" w:color="808DDE" w:themeColor="accent4" w:sz="8" w:space="0"/>
          <w:insideV w:val="single" w:sz="8" w:space="0"/>
        </w:tcBorders>
        <w:shd w:val="clear" w:color="auto" w:fill="DFE2F6" w:themeFill="accent4" w:themeFillTint="3F"/>
      </w:tcPr>
    </w:tblStylePr>
    <w:tblStylePr w:type="band2Horz">
      <w:tblPr/>
      <w:tcPr>
        <w:tcBorders>
          <w:top w:val="single" w:color="808DDE" w:themeColor="accent4" w:sz="8" w:space="0"/>
          <w:left w:val="single" w:color="808DDE" w:themeColor="accent4" w:sz="8" w:space="0"/>
          <w:bottom w:val="single" w:color="808DDE" w:themeColor="accent4" w:sz="8" w:space="0"/>
          <w:right w:val="single" w:color="808DDE" w:themeColor="accent4" w:sz="8" w:space="0"/>
          <w:insideV w:val="single" w:sz="8" w:space="0"/>
        </w:tcBorders>
      </w:tcPr>
    </w:tblStylePr>
  </w:style>
  <w:style w:type="table" w:styleId="174">
    <w:name w:val="Light Grid Accent 5"/>
    <w:basedOn w:val="16"/>
    <w:uiPriority w:val="62"/>
    <w:pPr>
      <w:spacing w:after="0" w:line="240" w:lineRule="auto"/>
    </w:pPr>
    <w:tblPr>
      <w:tblBorders>
        <w:top w:val="single" w:color="ED4D66" w:themeColor="accent5" w:sz="8" w:space="0"/>
        <w:left w:val="single" w:color="ED4D66" w:themeColor="accent5" w:sz="8" w:space="0"/>
        <w:bottom w:val="single" w:color="ED4D66" w:themeColor="accent5" w:sz="8" w:space="0"/>
        <w:right w:val="single" w:color="ED4D66" w:themeColor="accent5" w:sz="8" w:space="0"/>
        <w:insideH w:val="single" w:color="ED4D66" w:themeColor="accent5" w:sz="8" w:space="0"/>
        <w:insideV w:val="single" w:color="ED4D6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4D66" w:themeColor="accent5" w:sz="8" w:space="0"/>
          <w:left w:val="single" w:color="ED4D66" w:themeColor="accent5" w:sz="8" w:space="0"/>
          <w:bottom w:val="single" w:color="ED4D66" w:themeColor="accent5" w:sz="18" w:space="0"/>
          <w:right w:val="single" w:color="ED4D6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4D66" w:themeColor="accent5" w:sz="6" w:space="0"/>
          <w:left w:val="single" w:color="ED4D66" w:themeColor="accent5" w:sz="8" w:space="0"/>
          <w:bottom w:val="single" w:color="ED4D66" w:themeColor="accent5" w:sz="8" w:space="0"/>
          <w:right w:val="single" w:color="ED4D6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4D66" w:themeColor="accent5" w:sz="8" w:space="0"/>
          <w:left w:val="single" w:color="ED4D66" w:themeColor="accent5" w:sz="8" w:space="0"/>
          <w:bottom w:val="single" w:color="ED4D66" w:themeColor="accent5" w:sz="8" w:space="0"/>
          <w:right w:val="single" w:color="ED4D66" w:themeColor="accent5" w:sz="8" w:space="0"/>
        </w:tcBorders>
      </w:tcPr>
    </w:tblStylePr>
    <w:tblStylePr w:type="band1Vert">
      <w:tblPr/>
      <w:tcPr>
        <w:tcBorders>
          <w:top w:val="single" w:color="ED4D66" w:themeColor="accent5" w:sz="8" w:space="0"/>
          <w:left w:val="single" w:color="ED4D66" w:themeColor="accent5" w:sz="8" w:space="0"/>
          <w:bottom w:val="single" w:color="ED4D66" w:themeColor="accent5" w:sz="8" w:space="0"/>
          <w:right w:val="single" w:color="ED4D66" w:themeColor="accent5" w:sz="8" w:space="0"/>
        </w:tcBorders>
        <w:shd w:val="clear" w:color="auto" w:fill="FAD3D9" w:themeFill="accent5" w:themeFillTint="3F"/>
      </w:tcPr>
    </w:tblStylePr>
    <w:tblStylePr w:type="band1Horz">
      <w:tblPr/>
      <w:tcPr>
        <w:tcBorders>
          <w:top w:val="single" w:color="ED4D66" w:themeColor="accent5" w:sz="8" w:space="0"/>
          <w:left w:val="single" w:color="ED4D66" w:themeColor="accent5" w:sz="8" w:space="0"/>
          <w:bottom w:val="single" w:color="ED4D66" w:themeColor="accent5" w:sz="8" w:space="0"/>
          <w:right w:val="single" w:color="ED4D66" w:themeColor="accent5" w:sz="8" w:space="0"/>
          <w:insideV w:val="single" w:sz="8" w:space="0"/>
        </w:tcBorders>
        <w:shd w:val="clear" w:color="auto" w:fill="FAD3D9" w:themeFill="accent5" w:themeFillTint="3F"/>
      </w:tcPr>
    </w:tblStylePr>
    <w:tblStylePr w:type="band2Horz">
      <w:tblPr/>
      <w:tcPr>
        <w:tcBorders>
          <w:top w:val="single" w:color="ED4D66" w:themeColor="accent5" w:sz="8" w:space="0"/>
          <w:left w:val="single" w:color="ED4D66" w:themeColor="accent5" w:sz="8" w:space="0"/>
          <w:bottom w:val="single" w:color="ED4D66" w:themeColor="accent5" w:sz="8" w:space="0"/>
          <w:right w:val="single" w:color="ED4D66" w:themeColor="accent5" w:sz="8" w:space="0"/>
          <w:insideV w:val="single" w:sz="8" w:space="0"/>
        </w:tcBorders>
      </w:tcPr>
    </w:tblStylePr>
  </w:style>
  <w:style w:type="table" w:styleId="175">
    <w:name w:val="Light Grid Accent 6"/>
    <w:basedOn w:val="16"/>
    <w:uiPriority w:val="62"/>
    <w:pPr>
      <w:spacing w:after="0" w:line="240" w:lineRule="auto"/>
    </w:pPr>
    <w:tblPr>
      <w:tblBorders>
        <w:top w:val="single" w:color="EEBC58" w:themeColor="accent6" w:sz="8" w:space="0"/>
        <w:left w:val="single" w:color="EEBC58" w:themeColor="accent6" w:sz="8" w:space="0"/>
        <w:bottom w:val="single" w:color="EEBC58" w:themeColor="accent6" w:sz="8" w:space="0"/>
        <w:right w:val="single" w:color="EEBC58" w:themeColor="accent6" w:sz="8" w:space="0"/>
        <w:insideH w:val="single" w:color="EEBC58" w:themeColor="accent6" w:sz="8" w:space="0"/>
        <w:insideV w:val="single" w:color="EEBC58"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EBC58" w:themeColor="accent6" w:sz="8" w:space="0"/>
          <w:left w:val="single" w:color="EEBC58" w:themeColor="accent6" w:sz="8" w:space="0"/>
          <w:bottom w:val="single" w:color="EEBC58" w:themeColor="accent6" w:sz="18" w:space="0"/>
          <w:right w:val="single" w:color="EEBC58"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EBC58" w:themeColor="accent6" w:sz="6" w:space="0"/>
          <w:left w:val="single" w:color="EEBC58" w:themeColor="accent6" w:sz="8" w:space="0"/>
          <w:bottom w:val="single" w:color="EEBC58" w:themeColor="accent6" w:sz="8" w:space="0"/>
          <w:right w:val="single" w:color="EEBC58"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EBC58" w:themeColor="accent6" w:sz="8" w:space="0"/>
          <w:left w:val="single" w:color="EEBC58" w:themeColor="accent6" w:sz="8" w:space="0"/>
          <w:bottom w:val="single" w:color="EEBC58" w:themeColor="accent6" w:sz="8" w:space="0"/>
          <w:right w:val="single" w:color="EEBC58" w:themeColor="accent6" w:sz="8" w:space="0"/>
        </w:tcBorders>
      </w:tcPr>
    </w:tblStylePr>
    <w:tblStylePr w:type="band1Vert">
      <w:tblPr/>
      <w:tcPr>
        <w:tcBorders>
          <w:top w:val="single" w:color="EEBC58" w:themeColor="accent6" w:sz="8" w:space="0"/>
          <w:left w:val="single" w:color="EEBC58" w:themeColor="accent6" w:sz="8" w:space="0"/>
          <w:bottom w:val="single" w:color="EEBC58" w:themeColor="accent6" w:sz="8" w:space="0"/>
          <w:right w:val="single" w:color="EEBC58" w:themeColor="accent6" w:sz="8" w:space="0"/>
        </w:tcBorders>
        <w:shd w:val="clear" w:color="auto" w:fill="FAEED5" w:themeFill="accent6" w:themeFillTint="3F"/>
      </w:tcPr>
    </w:tblStylePr>
    <w:tblStylePr w:type="band1Horz">
      <w:tblPr/>
      <w:tcPr>
        <w:tcBorders>
          <w:top w:val="single" w:color="EEBC58" w:themeColor="accent6" w:sz="8" w:space="0"/>
          <w:left w:val="single" w:color="EEBC58" w:themeColor="accent6" w:sz="8" w:space="0"/>
          <w:bottom w:val="single" w:color="EEBC58" w:themeColor="accent6" w:sz="8" w:space="0"/>
          <w:right w:val="single" w:color="EEBC58" w:themeColor="accent6" w:sz="8" w:space="0"/>
          <w:insideV w:val="single" w:sz="8" w:space="0"/>
        </w:tcBorders>
        <w:shd w:val="clear" w:color="auto" w:fill="FAEED5" w:themeFill="accent6" w:themeFillTint="3F"/>
      </w:tcPr>
    </w:tblStylePr>
    <w:tblStylePr w:type="band2Horz">
      <w:tblPr/>
      <w:tcPr>
        <w:tcBorders>
          <w:top w:val="single" w:color="EEBC58" w:themeColor="accent6" w:sz="8" w:space="0"/>
          <w:left w:val="single" w:color="EEBC58" w:themeColor="accent6" w:sz="8" w:space="0"/>
          <w:bottom w:val="single" w:color="EEBC58" w:themeColor="accent6" w:sz="8" w:space="0"/>
          <w:right w:val="single" w:color="EEBC58" w:themeColor="accent6" w:sz="8" w:space="0"/>
          <w:insideV w:val="single" w:sz="8" w:space="0"/>
        </w:tcBorders>
      </w:tcPr>
    </w:tblStylePr>
  </w:style>
  <w:style w:type="table" w:styleId="176">
    <w:name w:val="Medium Shading 1"/>
    <w:basedOn w:val="16"/>
    <w:uiPriority w:val="63"/>
    <w:pPr>
      <w:spacing w:after="0" w:line="240" w:lineRule="auto"/>
    </w:pPr>
    <w:tblPr>
      <w:tblBorders>
        <w:top w:val="single" w:color="2D5E96" w:themeColor="text1" w:themeTint="BF" w:sz="8" w:space="0"/>
        <w:left w:val="single" w:color="2D5E96" w:themeColor="text1" w:themeTint="BF" w:sz="8" w:space="0"/>
        <w:bottom w:val="single" w:color="2D5E96" w:themeColor="text1" w:themeTint="BF" w:sz="8" w:space="0"/>
        <w:right w:val="single" w:color="2D5E96" w:themeColor="text1" w:themeTint="BF" w:sz="8" w:space="0"/>
        <w:insideH w:val="single" w:color="2D5E96"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2D5E96" w:themeColor="text1" w:themeTint="BF" w:sz="8" w:space="0"/>
          <w:left w:val="single" w:color="2D5E96" w:themeColor="text1" w:themeTint="BF" w:sz="8" w:space="0"/>
          <w:bottom w:val="single" w:color="2D5E96" w:themeColor="text1" w:themeTint="BF" w:sz="8" w:space="0"/>
          <w:right w:val="single" w:color="2D5E96" w:themeColor="text1" w:themeTint="BF" w:sz="8" w:space="0"/>
          <w:insideH w:val="nil"/>
          <w:insideV w:val="nil"/>
        </w:tcBorders>
        <w:shd w:val="clear" w:color="auto" w:fill="152C46" w:themeFill="text1"/>
      </w:tcPr>
    </w:tblStylePr>
    <w:tblStylePr w:type="lastRow">
      <w:pPr>
        <w:spacing w:before="0" w:after="0" w:line="240" w:lineRule="auto"/>
      </w:pPr>
      <w:rPr>
        <w:b/>
        <w:bCs/>
      </w:rPr>
      <w:tblPr/>
      <w:tcPr>
        <w:tcBorders>
          <w:top w:val="double" w:color="2D5E96" w:themeColor="text1" w:themeTint="BF" w:sz="6" w:space="0"/>
          <w:left w:val="single" w:color="2D5E96" w:themeColor="text1" w:themeTint="BF" w:sz="8" w:space="0"/>
          <w:bottom w:val="single" w:color="2D5E96" w:themeColor="text1" w:themeTint="BF" w:sz="8" w:space="0"/>
          <w:right w:val="single" w:color="2D5E96"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AFC9E7" w:themeFill="text1" w:themeFillTint="3F"/>
      </w:tcPr>
    </w:tblStylePr>
    <w:tblStylePr w:type="band1Horz">
      <w:tblPr/>
      <w:tcPr>
        <w:tcBorders>
          <w:insideH w:val="nil"/>
          <w:insideV w:val="nil"/>
        </w:tcBorders>
        <w:shd w:val="clear" w:color="auto" w:fill="AFC9E7" w:themeFill="text1" w:themeFillTint="3F"/>
      </w:tcPr>
    </w:tblStylePr>
    <w:tblStylePr w:type="band2Horz">
      <w:tblPr/>
      <w:tcPr>
        <w:tcBorders>
          <w:insideH w:val="nil"/>
          <w:insideV w:val="nil"/>
        </w:tcBorders>
      </w:tcPr>
    </w:tblStylePr>
  </w:style>
  <w:style w:type="table" w:styleId="177">
    <w:name w:val="Medium Shading 1 Accent 1"/>
    <w:basedOn w:val="16"/>
    <w:uiPriority w:val="63"/>
    <w:pPr>
      <w:spacing w:after="0" w:line="240" w:lineRule="auto"/>
    </w:pPr>
    <w:tblPr>
      <w:tblBorders>
        <w:top w:val="single" w:color="28FFBF" w:themeColor="accent1" w:themeTint="BF" w:sz="8" w:space="0"/>
        <w:left w:val="single" w:color="28FFBF" w:themeColor="accent1" w:themeTint="BF" w:sz="8" w:space="0"/>
        <w:bottom w:val="single" w:color="28FFBF" w:themeColor="accent1" w:themeTint="BF" w:sz="8" w:space="0"/>
        <w:right w:val="single" w:color="28FFBF" w:themeColor="accent1" w:themeTint="BF" w:sz="8" w:space="0"/>
        <w:insideH w:val="single" w:color="28FFB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28FFBF" w:themeColor="accent1" w:themeTint="BF" w:sz="8" w:space="0"/>
          <w:left w:val="single" w:color="28FFBF" w:themeColor="accent1" w:themeTint="BF" w:sz="8" w:space="0"/>
          <w:bottom w:val="single" w:color="28FFBF" w:themeColor="accent1" w:themeTint="BF" w:sz="8" w:space="0"/>
          <w:right w:val="single" w:color="28FFBF" w:themeColor="accent1" w:themeTint="BF" w:sz="8" w:space="0"/>
          <w:insideH w:val="nil"/>
          <w:insideV w:val="nil"/>
        </w:tcBorders>
        <w:shd w:val="clear" w:color="auto" w:fill="00E09E" w:themeFill="accent1"/>
      </w:tcPr>
    </w:tblStylePr>
    <w:tblStylePr w:type="lastRow">
      <w:pPr>
        <w:spacing w:before="0" w:after="0" w:line="240" w:lineRule="auto"/>
      </w:pPr>
      <w:rPr>
        <w:b/>
        <w:bCs/>
      </w:rPr>
      <w:tblPr/>
      <w:tcPr>
        <w:tcBorders>
          <w:top w:val="double" w:color="28FFBF" w:themeColor="accent1" w:themeTint="BF" w:sz="6" w:space="0"/>
          <w:left w:val="single" w:color="28FFBF" w:themeColor="accent1" w:themeTint="BF" w:sz="8" w:space="0"/>
          <w:bottom w:val="single" w:color="28FFBF" w:themeColor="accent1" w:themeTint="BF" w:sz="8" w:space="0"/>
          <w:right w:val="single" w:color="28FFB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8FFEA" w:themeFill="accent1" w:themeFillTint="3F"/>
      </w:tcPr>
    </w:tblStylePr>
    <w:tblStylePr w:type="band1Horz">
      <w:tblPr/>
      <w:tcPr>
        <w:tcBorders>
          <w:insideH w:val="nil"/>
          <w:insideV w:val="nil"/>
        </w:tcBorders>
        <w:shd w:val="clear" w:color="auto" w:fill="B8FFEA" w:themeFill="accent1" w:themeFillTint="3F"/>
      </w:tcPr>
    </w:tblStylePr>
    <w:tblStylePr w:type="band2Horz">
      <w:tblPr/>
      <w:tcPr>
        <w:tcBorders>
          <w:insideH w:val="nil"/>
          <w:insideV w:val="nil"/>
        </w:tcBorders>
      </w:tcPr>
    </w:tblStylePr>
  </w:style>
  <w:style w:type="table" w:styleId="178">
    <w:name w:val="Medium Shading 1 Accent 2"/>
    <w:basedOn w:val="16"/>
    <w:uiPriority w:val="63"/>
    <w:pPr>
      <w:spacing w:after="0" w:line="240" w:lineRule="auto"/>
    </w:pPr>
    <w:tblPr>
      <w:tblBorders>
        <w:top w:val="single" w:color="61AFAD" w:themeColor="accent2" w:themeTint="BF" w:sz="8" w:space="0"/>
        <w:left w:val="single" w:color="61AFAD" w:themeColor="accent2" w:themeTint="BF" w:sz="8" w:space="0"/>
        <w:bottom w:val="single" w:color="61AFAD" w:themeColor="accent2" w:themeTint="BF" w:sz="8" w:space="0"/>
        <w:right w:val="single" w:color="61AFAD" w:themeColor="accent2" w:themeTint="BF" w:sz="8" w:space="0"/>
        <w:insideH w:val="single" w:color="61AFAD"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61AFAD" w:themeColor="accent2" w:themeTint="BF" w:sz="8" w:space="0"/>
          <w:left w:val="single" w:color="61AFAD" w:themeColor="accent2" w:themeTint="BF" w:sz="8" w:space="0"/>
          <w:bottom w:val="single" w:color="61AFAD" w:themeColor="accent2" w:themeTint="BF" w:sz="8" w:space="0"/>
          <w:right w:val="single" w:color="61AFAD" w:themeColor="accent2" w:themeTint="BF" w:sz="8" w:space="0"/>
          <w:insideH w:val="nil"/>
          <w:insideV w:val="nil"/>
        </w:tcBorders>
        <w:shd w:val="clear" w:color="auto" w:fill="41807F" w:themeFill="accent2"/>
      </w:tcPr>
    </w:tblStylePr>
    <w:tblStylePr w:type="lastRow">
      <w:pPr>
        <w:spacing w:before="0" w:after="0" w:line="240" w:lineRule="auto"/>
      </w:pPr>
      <w:rPr>
        <w:b/>
        <w:bCs/>
      </w:rPr>
      <w:tblPr/>
      <w:tcPr>
        <w:tcBorders>
          <w:top w:val="double" w:color="61AFAD" w:themeColor="accent2" w:themeTint="BF" w:sz="6" w:space="0"/>
          <w:left w:val="single" w:color="61AFAD" w:themeColor="accent2" w:themeTint="BF" w:sz="8" w:space="0"/>
          <w:bottom w:val="single" w:color="61AFAD" w:themeColor="accent2" w:themeTint="BF" w:sz="8" w:space="0"/>
          <w:right w:val="single" w:color="61AFAD"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CBE4E4" w:themeFill="accent2" w:themeFillTint="3F"/>
      </w:tcPr>
    </w:tblStylePr>
    <w:tblStylePr w:type="band1Horz">
      <w:tblPr/>
      <w:tcPr>
        <w:tcBorders>
          <w:insideH w:val="nil"/>
          <w:insideV w:val="nil"/>
        </w:tcBorders>
        <w:shd w:val="clear" w:color="auto" w:fill="CBE4E4" w:themeFill="accent2" w:themeFillTint="3F"/>
      </w:tcPr>
    </w:tblStylePr>
    <w:tblStylePr w:type="band2Horz">
      <w:tblPr/>
      <w:tcPr>
        <w:tcBorders>
          <w:insideH w:val="nil"/>
          <w:insideV w:val="nil"/>
        </w:tcBorders>
      </w:tcPr>
    </w:tblStylePr>
  </w:style>
  <w:style w:type="table" w:styleId="179">
    <w:name w:val="Medium Shading 1 Accent 3"/>
    <w:basedOn w:val="16"/>
    <w:uiPriority w:val="63"/>
    <w:pPr>
      <w:spacing w:after="0" w:line="240" w:lineRule="auto"/>
    </w:pPr>
    <w:tblPr>
      <w:tblBorders>
        <w:top w:val="single" w:color="50B9E6" w:themeColor="accent3" w:themeTint="BF" w:sz="8" w:space="0"/>
        <w:left w:val="single" w:color="50B9E6" w:themeColor="accent3" w:themeTint="BF" w:sz="8" w:space="0"/>
        <w:bottom w:val="single" w:color="50B9E6" w:themeColor="accent3" w:themeTint="BF" w:sz="8" w:space="0"/>
        <w:right w:val="single" w:color="50B9E6" w:themeColor="accent3" w:themeTint="BF" w:sz="8" w:space="0"/>
        <w:insideH w:val="single" w:color="50B9E6"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50B9E6" w:themeColor="accent3" w:themeTint="BF" w:sz="8" w:space="0"/>
          <w:left w:val="single" w:color="50B9E6" w:themeColor="accent3" w:themeTint="BF" w:sz="8" w:space="0"/>
          <w:bottom w:val="single" w:color="50B9E6" w:themeColor="accent3" w:themeTint="BF" w:sz="8" w:space="0"/>
          <w:right w:val="single" w:color="50B9E6" w:themeColor="accent3" w:themeTint="BF" w:sz="8" w:space="0"/>
          <w:insideH w:val="nil"/>
          <w:insideV w:val="nil"/>
        </w:tcBorders>
        <w:shd w:val="clear" w:color="auto" w:fill="1E9FD7" w:themeFill="accent3"/>
      </w:tcPr>
    </w:tblStylePr>
    <w:tblStylePr w:type="lastRow">
      <w:pPr>
        <w:spacing w:before="0" w:after="0" w:line="240" w:lineRule="auto"/>
      </w:pPr>
      <w:rPr>
        <w:b/>
        <w:bCs/>
      </w:rPr>
      <w:tblPr/>
      <w:tcPr>
        <w:tcBorders>
          <w:top w:val="double" w:color="50B9E6" w:themeColor="accent3" w:themeTint="BF" w:sz="6" w:space="0"/>
          <w:left w:val="single" w:color="50B9E6" w:themeColor="accent3" w:themeTint="BF" w:sz="8" w:space="0"/>
          <w:bottom w:val="single" w:color="50B9E6" w:themeColor="accent3" w:themeTint="BF" w:sz="8" w:space="0"/>
          <w:right w:val="single" w:color="50B9E6"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C5E8F6" w:themeFill="accent3" w:themeFillTint="3F"/>
      </w:tcPr>
    </w:tblStylePr>
    <w:tblStylePr w:type="band1Horz">
      <w:tblPr/>
      <w:tcPr>
        <w:tcBorders>
          <w:insideH w:val="nil"/>
          <w:insideV w:val="nil"/>
        </w:tcBorders>
        <w:shd w:val="clear" w:color="auto" w:fill="C5E8F6" w:themeFill="accent3" w:themeFillTint="3F"/>
      </w:tcPr>
    </w:tblStylePr>
    <w:tblStylePr w:type="band2Horz">
      <w:tblPr/>
      <w:tcPr>
        <w:tcBorders>
          <w:insideH w:val="nil"/>
          <w:insideV w:val="nil"/>
        </w:tcBorders>
      </w:tcPr>
    </w:tblStylePr>
  </w:style>
  <w:style w:type="table" w:styleId="180">
    <w:name w:val="Medium Shading 1 Accent 4"/>
    <w:basedOn w:val="16"/>
    <w:uiPriority w:val="63"/>
    <w:pPr>
      <w:spacing w:after="0" w:line="240" w:lineRule="auto"/>
    </w:pPr>
    <w:tblPr>
      <w:tblBorders>
        <w:top w:val="single" w:color="9FA9E6" w:themeColor="accent4" w:themeTint="BF" w:sz="8" w:space="0"/>
        <w:left w:val="single" w:color="9FA9E6" w:themeColor="accent4" w:themeTint="BF" w:sz="8" w:space="0"/>
        <w:bottom w:val="single" w:color="9FA9E6" w:themeColor="accent4" w:themeTint="BF" w:sz="8" w:space="0"/>
        <w:right w:val="single" w:color="9FA9E6" w:themeColor="accent4" w:themeTint="BF" w:sz="8" w:space="0"/>
        <w:insideH w:val="single" w:color="9FA9E6"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A9E6" w:themeColor="accent4" w:themeTint="BF" w:sz="8" w:space="0"/>
          <w:left w:val="single" w:color="9FA9E6" w:themeColor="accent4" w:themeTint="BF" w:sz="8" w:space="0"/>
          <w:bottom w:val="single" w:color="9FA9E6" w:themeColor="accent4" w:themeTint="BF" w:sz="8" w:space="0"/>
          <w:right w:val="single" w:color="9FA9E6" w:themeColor="accent4" w:themeTint="BF" w:sz="8" w:space="0"/>
          <w:insideH w:val="nil"/>
          <w:insideV w:val="nil"/>
        </w:tcBorders>
        <w:shd w:val="clear" w:color="auto" w:fill="808DDE" w:themeFill="accent4"/>
      </w:tcPr>
    </w:tblStylePr>
    <w:tblStylePr w:type="lastRow">
      <w:pPr>
        <w:spacing w:before="0" w:after="0" w:line="240" w:lineRule="auto"/>
      </w:pPr>
      <w:rPr>
        <w:b/>
        <w:bCs/>
      </w:rPr>
      <w:tblPr/>
      <w:tcPr>
        <w:tcBorders>
          <w:top w:val="double" w:color="9FA9E6" w:themeColor="accent4" w:themeTint="BF" w:sz="6" w:space="0"/>
          <w:left w:val="single" w:color="9FA9E6" w:themeColor="accent4" w:themeTint="BF" w:sz="8" w:space="0"/>
          <w:bottom w:val="single" w:color="9FA9E6" w:themeColor="accent4" w:themeTint="BF" w:sz="8" w:space="0"/>
          <w:right w:val="single" w:color="9FA9E6"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E2F6" w:themeFill="accent4" w:themeFillTint="3F"/>
      </w:tcPr>
    </w:tblStylePr>
    <w:tblStylePr w:type="band1Horz">
      <w:tblPr/>
      <w:tcPr>
        <w:tcBorders>
          <w:insideH w:val="nil"/>
          <w:insideV w:val="nil"/>
        </w:tcBorders>
        <w:shd w:val="clear" w:color="auto" w:fill="DFE2F6" w:themeFill="accent4" w:themeFillTint="3F"/>
      </w:tcPr>
    </w:tblStylePr>
    <w:tblStylePr w:type="band2Horz">
      <w:tblPr/>
      <w:tcPr>
        <w:tcBorders>
          <w:insideH w:val="nil"/>
          <w:insideV w:val="nil"/>
        </w:tcBorders>
      </w:tcPr>
    </w:tblStylePr>
  </w:style>
  <w:style w:type="table" w:styleId="181">
    <w:name w:val="Medium Shading 1 Accent 5"/>
    <w:basedOn w:val="16"/>
    <w:uiPriority w:val="63"/>
    <w:pPr>
      <w:spacing w:after="0" w:line="240" w:lineRule="auto"/>
    </w:pPr>
    <w:tblPr>
      <w:tblBorders>
        <w:top w:val="single" w:color="F1798C" w:themeColor="accent5" w:themeTint="BF" w:sz="8" w:space="0"/>
        <w:left w:val="single" w:color="F1798C" w:themeColor="accent5" w:themeTint="BF" w:sz="8" w:space="0"/>
        <w:bottom w:val="single" w:color="F1798C" w:themeColor="accent5" w:themeTint="BF" w:sz="8" w:space="0"/>
        <w:right w:val="single" w:color="F1798C" w:themeColor="accent5" w:themeTint="BF" w:sz="8" w:space="0"/>
        <w:insideH w:val="single" w:color="F1798C"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798C" w:themeColor="accent5" w:themeTint="BF" w:sz="8" w:space="0"/>
          <w:left w:val="single" w:color="F1798C" w:themeColor="accent5" w:themeTint="BF" w:sz="8" w:space="0"/>
          <w:bottom w:val="single" w:color="F1798C" w:themeColor="accent5" w:themeTint="BF" w:sz="8" w:space="0"/>
          <w:right w:val="single" w:color="F1798C" w:themeColor="accent5" w:themeTint="BF" w:sz="8" w:space="0"/>
          <w:insideH w:val="nil"/>
          <w:insideV w:val="nil"/>
        </w:tcBorders>
        <w:shd w:val="clear" w:color="auto" w:fill="ED4D66" w:themeFill="accent5"/>
      </w:tcPr>
    </w:tblStylePr>
    <w:tblStylePr w:type="lastRow">
      <w:pPr>
        <w:spacing w:before="0" w:after="0" w:line="240" w:lineRule="auto"/>
      </w:pPr>
      <w:rPr>
        <w:b/>
        <w:bCs/>
      </w:rPr>
      <w:tblPr/>
      <w:tcPr>
        <w:tcBorders>
          <w:top w:val="double" w:color="F1798C" w:themeColor="accent5" w:themeTint="BF" w:sz="6" w:space="0"/>
          <w:left w:val="single" w:color="F1798C" w:themeColor="accent5" w:themeTint="BF" w:sz="8" w:space="0"/>
          <w:bottom w:val="single" w:color="F1798C" w:themeColor="accent5" w:themeTint="BF" w:sz="8" w:space="0"/>
          <w:right w:val="single" w:color="F1798C"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AD3D9" w:themeFill="accent5" w:themeFillTint="3F"/>
      </w:tcPr>
    </w:tblStylePr>
    <w:tblStylePr w:type="band1Horz">
      <w:tblPr/>
      <w:tcPr>
        <w:tcBorders>
          <w:insideH w:val="nil"/>
          <w:insideV w:val="nil"/>
        </w:tcBorders>
        <w:shd w:val="clear" w:color="auto" w:fill="FAD3D9" w:themeFill="accent5" w:themeFillTint="3F"/>
      </w:tcPr>
    </w:tblStylePr>
    <w:tblStylePr w:type="band2Horz">
      <w:tblPr/>
      <w:tcPr>
        <w:tcBorders>
          <w:insideH w:val="nil"/>
          <w:insideV w:val="nil"/>
        </w:tcBorders>
      </w:tcPr>
    </w:tblStylePr>
  </w:style>
  <w:style w:type="table" w:styleId="182">
    <w:name w:val="Medium Shading 1 Accent 6"/>
    <w:basedOn w:val="16"/>
    <w:uiPriority w:val="63"/>
    <w:pPr>
      <w:spacing w:after="0" w:line="240" w:lineRule="auto"/>
    </w:pPr>
    <w:tblPr>
      <w:tblBorders>
        <w:top w:val="single" w:color="F2CC81" w:themeColor="accent6" w:themeTint="BF" w:sz="8" w:space="0"/>
        <w:left w:val="single" w:color="F2CC81" w:themeColor="accent6" w:themeTint="BF" w:sz="8" w:space="0"/>
        <w:bottom w:val="single" w:color="F2CC81" w:themeColor="accent6" w:themeTint="BF" w:sz="8" w:space="0"/>
        <w:right w:val="single" w:color="F2CC81" w:themeColor="accent6" w:themeTint="BF" w:sz="8" w:space="0"/>
        <w:insideH w:val="single" w:color="F2CC81"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2CC81" w:themeColor="accent6" w:themeTint="BF" w:sz="8" w:space="0"/>
          <w:left w:val="single" w:color="F2CC81" w:themeColor="accent6" w:themeTint="BF" w:sz="8" w:space="0"/>
          <w:bottom w:val="single" w:color="F2CC81" w:themeColor="accent6" w:themeTint="BF" w:sz="8" w:space="0"/>
          <w:right w:val="single" w:color="F2CC81" w:themeColor="accent6" w:themeTint="BF" w:sz="8" w:space="0"/>
          <w:insideH w:val="nil"/>
          <w:insideV w:val="nil"/>
        </w:tcBorders>
        <w:shd w:val="clear" w:color="auto" w:fill="EEBC58" w:themeFill="accent6"/>
      </w:tcPr>
    </w:tblStylePr>
    <w:tblStylePr w:type="lastRow">
      <w:pPr>
        <w:spacing w:before="0" w:after="0" w:line="240" w:lineRule="auto"/>
      </w:pPr>
      <w:rPr>
        <w:b/>
        <w:bCs/>
      </w:rPr>
      <w:tblPr/>
      <w:tcPr>
        <w:tcBorders>
          <w:top w:val="double" w:color="F2CC81" w:themeColor="accent6" w:themeTint="BF" w:sz="6" w:space="0"/>
          <w:left w:val="single" w:color="F2CC81" w:themeColor="accent6" w:themeTint="BF" w:sz="8" w:space="0"/>
          <w:bottom w:val="single" w:color="F2CC81" w:themeColor="accent6" w:themeTint="BF" w:sz="8" w:space="0"/>
          <w:right w:val="single" w:color="F2CC8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AEED5" w:themeFill="accent6" w:themeFillTint="3F"/>
      </w:tcPr>
    </w:tblStylePr>
    <w:tblStylePr w:type="band1Horz">
      <w:tblPr/>
      <w:tcPr>
        <w:tcBorders>
          <w:insideH w:val="nil"/>
          <w:insideV w:val="nil"/>
        </w:tcBorders>
        <w:shd w:val="clear" w:color="auto" w:fill="FAEED5" w:themeFill="accent6" w:themeFillTint="3F"/>
      </w:tcPr>
    </w:tblStylePr>
    <w:tblStylePr w:type="band2Horz">
      <w:tblPr/>
      <w:tcPr>
        <w:tcBorders>
          <w:insideH w:val="nil"/>
          <w:insideV w:val="nil"/>
        </w:tcBorders>
      </w:tcPr>
    </w:tblStylePr>
  </w:style>
  <w:style w:type="table" w:styleId="183">
    <w:name w:val="Medium Shading 2"/>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52C46"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152C46"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52C46"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4">
    <w:name w:val="Medium Shading 2 Accent 1"/>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E09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E09E"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E09E"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5">
    <w:name w:val="Medium Shading 2 Accent 2"/>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1807F"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1807F"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1807F"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6">
    <w:name w:val="Medium Shading 2 Accent 3"/>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E9FD7"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1E9FD7"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E9FD7"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7">
    <w:name w:val="Medium Shading 2 Accent 4"/>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8DDE"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8DDE"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8DDE"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8">
    <w:name w:val="Medium Shading 2 Accent 5"/>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4D6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4D6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4D6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89">
    <w:name w:val="Medium Shading 2 Accent 6"/>
    <w:basedOn w:val="16"/>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EBC58"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EBC58"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EBC58"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90">
    <w:name w:val="Medium List 1"/>
    <w:basedOn w:val="16"/>
    <w:uiPriority w:val="65"/>
    <w:pPr>
      <w:spacing w:after="0" w:line="240" w:lineRule="auto"/>
    </w:pPr>
    <w:rPr>
      <w:color w:val="152C46" w:themeColor="text1"/>
      <w14:textFill>
        <w14:solidFill>
          <w14:schemeClr w14:val="tx1"/>
        </w14:solidFill>
      </w14:textFill>
    </w:rPr>
    <w:tblPr>
      <w:tblBorders>
        <w:top w:val="single" w:color="152C46" w:themeColor="text1" w:sz="8" w:space="0"/>
        <w:bottom w:val="single" w:color="152C46" w:themeColor="text1" w:sz="8" w:space="0"/>
      </w:tblBorders>
    </w:tblPr>
    <w:tblStylePr w:type="firstRow">
      <w:rPr>
        <w:rFonts w:asciiTheme="majorHAnsi" w:hAnsiTheme="majorHAnsi" w:eastAsiaTheme="majorEastAsia" w:cstheme="majorBidi"/>
      </w:rPr>
      <w:tblPr/>
      <w:tcPr>
        <w:tcBorders>
          <w:top w:val="nil"/>
          <w:bottom w:val="single" w:color="152C46" w:themeColor="text1" w:sz="8" w:space="0"/>
        </w:tcBorders>
      </w:tcPr>
    </w:tblStylePr>
    <w:tblStylePr w:type="lastRow">
      <w:rPr>
        <w:b/>
        <w:bCs/>
        <w:color w:val="7F7F7F" w:themeColor="text2"/>
        <w14:textFill>
          <w14:solidFill>
            <w14:schemeClr w14:val="tx2"/>
          </w14:solidFill>
        </w14:textFill>
      </w:rPr>
      <w:tblPr/>
      <w:tcPr>
        <w:tcBorders>
          <w:top w:val="single" w:color="152C46" w:themeColor="text1" w:sz="8" w:space="0"/>
          <w:bottom w:val="single" w:color="152C46" w:themeColor="text1" w:sz="8" w:space="0"/>
        </w:tcBorders>
      </w:tcPr>
    </w:tblStylePr>
    <w:tblStylePr w:type="firstCol">
      <w:rPr>
        <w:b/>
        <w:bCs/>
      </w:rPr>
    </w:tblStylePr>
    <w:tblStylePr w:type="lastCol">
      <w:rPr>
        <w:b/>
        <w:bCs/>
      </w:rPr>
      <w:tblPr/>
      <w:tcPr>
        <w:tcBorders>
          <w:top w:val="single" w:color="152C46" w:themeColor="text1" w:sz="8" w:space="0"/>
          <w:bottom w:val="single" w:color="152C46" w:themeColor="text1" w:sz="8" w:space="0"/>
        </w:tcBorders>
      </w:tcPr>
    </w:tblStylePr>
    <w:tblStylePr w:type="band1Vert">
      <w:tblPr/>
      <w:tcPr>
        <w:shd w:val="clear" w:color="auto" w:fill="AFC9E7" w:themeFill="text1" w:themeFillTint="3F"/>
      </w:tcPr>
    </w:tblStylePr>
    <w:tblStylePr w:type="band1Horz">
      <w:tblPr/>
      <w:tcPr>
        <w:shd w:val="clear" w:color="auto" w:fill="AFC9E7" w:themeFill="text1" w:themeFillTint="3F"/>
      </w:tcPr>
    </w:tblStylePr>
  </w:style>
  <w:style w:type="table" w:styleId="191">
    <w:name w:val="Medium List 1 Accent 1"/>
    <w:basedOn w:val="16"/>
    <w:uiPriority w:val="65"/>
    <w:pPr>
      <w:spacing w:after="0" w:line="240" w:lineRule="auto"/>
    </w:pPr>
    <w:rPr>
      <w:color w:val="152C46" w:themeColor="text1"/>
      <w14:textFill>
        <w14:solidFill>
          <w14:schemeClr w14:val="tx1"/>
        </w14:solidFill>
      </w14:textFill>
    </w:rPr>
    <w:tblPr>
      <w:tblBorders>
        <w:top w:val="single" w:color="00E09E" w:themeColor="accent1" w:sz="8" w:space="0"/>
        <w:bottom w:val="single" w:color="00E09E" w:themeColor="accent1" w:sz="8" w:space="0"/>
      </w:tblBorders>
    </w:tblPr>
    <w:tblStylePr w:type="firstRow">
      <w:rPr>
        <w:rFonts w:asciiTheme="majorHAnsi" w:hAnsiTheme="majorHAnsi" w:eastAsiaTheme="majorEastAsia" w:cstheme="majorBidi"/>
      </w:rPr>
      <w:tblPr/>
      <w:tcPr>
        <w:tcBorders>
          <w:top w:val="nil"/>
          <w:bottom w:val="single" w:color="00E09E" w:themeColor="accent1" w:sz="8" w:space="0"/>
        </w:tcBorders>
      </w:tcPr>
    </w:tblStylePr>
    <w:tblStylePr w:type="lastRow">
      <w:rPr>
        <w:b/>
        <w:bCs/>
        <w:color w:val="7F7F7F" w:themeColor="text2"/>
        <w14:textFill>
          <w14:solidFill>
            <w14:schemeClr w14:val="tx2"/>
          </w14:solidFill>
        </w14:textFill>
      </w:rPr>
      <w:tblPr/>
      <w:tcPr>
        <w:tcBorders>
          <w:top w:val="single" w:color="00E09E" w:themeColor="accent1" w:sz="8" w:space="0"/>
          <w:bottom w:val="single" w:color="00E09E" w:themeColor="accent1" w:sz="8" w:space="0"/>
        </w:tcBorders>
      </w:tcPr>
    </w:tblStylePr>
    <w:tblStylePr w:type="firstCol">
      <w:rPr>
        <w:b/>
        <w:bCs/>
      </w:rPr>
    </w:tblStylePr>
    <w:tblStylePr w:type="lastCol">
      <w:rPr>
        <w:b/>
        <w:bCs/>
      </w:rPr>
      <w:tblPr/>
      <w:tcPr>
        <w:tcBorders>
          <w:top w:val="single" w:color="00E09E" w:themeColor="accent1" w:sz="8" w:space="0"/>
          <w:bottom w:val="single" w:color="00E09E" w:themeColor="accent1" w:sz="8" w:space="0"/>
        </w:tcBorders>
      </w:tcPr>
    </w:tblStylePr>
    <w:tblStylePr w:type="band1Vert">
      <w:tblPr/>
      <w:tcPr>
        <w:shd w:val="clear" w:color="auto" w:fill="B8FFEA" w:themeFill="accent1" w:themeFillTint="3F"/>
      </w:tcPr>
    </w:tblStylePr>
    <w:tblStylePr w:type="band1Horz">
      <w:tblPr/>
      <w:tcPr>
        <w:shd w:val="clear" w:color="auto" w:fill="B8FFEA" w:themeFill="accent1" w:themeFillTint="3F"/>
      </w:tcPr>
    </w:tblStylePr>
  </w:style>
  <w:style w:type="table" w:styleId="192">
    <w:name w:val="Medium List 1 Accent 2"/>
    <w:basedOn w:val="16"/>
    <w:uiPriority w:val="65"/>
    <w:pPr>
      <w:spacing w:after="0" w:line="240" w:lineRule="auto"/>
    </w:pPr>
    <w:rPr>
      <w:color w:val="152C46" w:themeColor="text1"/>
      <w14:textFill>
        <w14:solidFill>
          <w14:schemeClr w14:val="tx1"/>
        </w14:solidFill>
      </w14:textFill>
    </w:rPr>
    <w:tblPr>
      <w:tblBorders>
        <w:top w:val="single" w:color="41807F" w:themeColor="accent2" w:sz="8" w:space="0"/>
        <w:bottom w:val="single" w:color="41807F" w:themeColor="accent2" w:sz="8" w:space="0"/>
      </w:tblBorders>
    </w:tblPr>
    <w:tblStylePr w:type="firstRow">
      <w:rPr>
        <w:rFonts w:asciiTheme="majorHAnsi" w:hAnsiTheme="majorHAnsi" w:eastAsiaTheme="majorEastAsia" w:cstheme="majorBidi"/>
      </w:rPr>
      <w:tblPr/>
      <w:tcPr>
        <w:tcBorders>
          <w:top w:val="nil"/>
          <w:bottom w:val="single" w:color="41807F" w:themeColor="accent2" w:sz="8" w:space="0"/>
        </w:tcBorders>
      </w:tcPr>
    </w:tblStylePr>
    <w:tblStylePr w:type="lastRow">
      <w:rPr>
        <w:b/>
        <w:bCs/>
        <w:color w:val="7F7F7F" w:themeColor="text2"/>
        <w14:textFill>
          <w14:solidFill>
            <w14:schemeClr w14:val="tx2"/>
          </w14:solidFill>
        </w14:textFill>
      </w:rPr>
      <w:tblPr/>
      <w:tcPr>
        <w:tcBorders>
          <w:top w:val="single" w:color="41807F" w:themeColor="accent2" w:sz="8" w:space="0"/>
          <w:bottom w:val="single" w:color="41807F" w:themeColor="accent2" w:sz="8" w:space="0"/>
        </w:tcBorders>
      </w:tcPr>
    </w:tblStylePr>
    <w:tblStylePr w:type="firstCol">
      <w:rPr>
        <w:b/>
        <w:bCs/>
      </w:rPr>
    </w:tblStylePr>
    <w:tblStylePr w:type="lastCol">
      <w:rPr>
        <w:b/>
        <w:bCs/>
      </w:rPr>
      <w:tblPr/>
      <w:tcPr>
        <w:tcBorders>
          <w:top w:val="single" w:color="41807F" w:themeColor="accent2" w:sz="8" w:space="0"/>
          <w:bottom w:val="single" w:color="41807F" w:themeColor="accent2" w:sz="8" w:space="0"/>
        </w:tcBorders>
      </w:tcPr>
    </w:tblStylePr>
    <w:tblStylePr w:type="band1Vert">
      <w:tblPr/>
      <w:tcPr>
        <w:shd w:val="clear" w:color="auto" w:fill="CBE4E4" w:themeFill="accent2" w:themeFillTint="3F"/>
      </w:tcPr>
    </w:tblStylePr>
    <w:tblStylePr w:type="band1Horz">
      <w:tblPr/>
      <w:tcPr>
        <w:shd w:val="clear" w:color="auto" w:fill="CBE4E4" w:themeFill="accent2" w:themeFillTint="3F"/>
      </w:tcPr>
    </w:tblStylePr>
  </w:style>
  <w:style w:type="table" w:styleId="193">
    <w:name w:val="Medium List 1 Accent 3"/>
    <w:basedOn w:val="16"/>
    <w:uiPriority w:val="65"/>
    <w:pPr>
      <w:spacing w:after="0" w:line="240" w:lineRule="auto"/>
    </w:pPr>
    <w:rPr>
      <w:color w:val="152C46" w:themeColor="text1"/>
      <w14:textFill>
        <w14:solidFill>
          <w14:schemeClr w14:val="tx1"/>
        </w14:solidFill>
      </w14:textFill>
    </w:rPr>
    <w:tblPr>
      <w:tblBorders>
        <w:top w:val="single" w:color="1E9FD7" w:themeColor="accent3" w:sz="8" w:space="0"/>
        <w:bottom w:val="single" w:color="1E9FD7" w:themeColor="accent3" w:sz="8" w:space="0"/>
      </w:tblBorders>
    </w:tblPr>
    <w:tblStylePr w:type="firstRow">
      <w:rPr>
        <w:rFonts w:asciiTheme="majorHAnsi" w:hAnsiTheme="majorHAnsi" w:eastAsiaTheme="majorEastAsia" w:cstheme="majorBidi"/>
      </w:rPr>
      <w:tblPr/>
      <w:tcPr>
        <w:tcBorders>
          <w:top w:val="nil"/>
          <w:bottom w:val="single" w:color="1E9FD7" w:themeColor="accent3" w:sz="8" w:space="0"/>
        </w:tcBorders>
      </w:tcPr>
    </w:tblStylePr>
    <w:tblStylePr w:type="lastRow">
      <w:rPr>
        <w:b/>
        <w:bCs/>
        <w:color w:val="7F7F7F" w:themeColor="text2"/>
        <w14:textFill>
          <w14:solidFill>
            <w14:schemeClr w14:val="tx2"/>
          </w14:solidFill>
        </w14:textFill>
      </w:rPr>
      <w:tblPr/>
      <w:tcPr>
        <w:tcBorders>
          <w:top w:val="single" w:color="1E9FD7" w:themeColor="accent3" w:sz="8" w:space="0"/>
          <w:bottom w:val="single" w:color="1E9FD7" w:themeColor="accent3" w:sz="8" w:space="0"/>
        </w:tcBorders>
      </w:tcPr>
    </w:tblStylePr>
    <w:tblStylePr w:type="firstCol">
      <w:rPr>
        <w:b/>
        <w:bCs/>
      </w:rPr>
    </w:tblStylePr>
    <w:tblStylePr w:type="lastCol">
      <w:rPr>
        <w:b/>
        <w:bCs/>
      </w:rPr>
      <w:tblPr/>
      <w:tcPr>
        <w:tcBorders>
          <w:top w:val="single" w:color="1E9FD7" w:themeColor="accent3" w:sz="8" w:space="0"/>
          <w:bottom w:val="single" w:color="1E9FD7" w:themeColor="accent3" w:sz="8" w:space="0"/>
        </w:tcBorders>
      </w:tcPr>
    </w:tblStylePr>
    <w:tblStylePr w:type="band1Vert">
      <w:tblPr/>
      <w:tcPr>
        <w:shd w:val="clear" w:color="auto" w:fill="C5E8F6" w:themeFill="accent3" w:themeFillTint="3F"/>
      </w:tcPr>
    </w:tblStylePr>
    <w:tblStylePr w:type="band1Horz">
      <w:tblPr/>
      <w:tcPr>
        <w:shd w:val="clear" w:color="auto" w:fill="C5E8F6" w:themeFill="accent3" w:themeFillTint="3F"/>
      </w:tcPr>
    </w:tblStylePr>
  </w:style>
  <w:style w:type="table" w:styleId="194">
    <w:name w:val="Medium List 1 Accent 4"/>
    <w:basedOn w:val="16"/>
    <w:uiPriority w:val="65"/>
    <w:pPr>
      <w:spacing w:after="0" w:line="240" w:lineRule="auto"/>
    </w:pPr>
    <w:rPr>
      <w:color w:val="152C46" w:themeColor="text1"/>
      <w14:textFill>
        <w14:solidFill>
          <w14:schemeClr w14:val="tx1"/>
        </w14:solidFill>
      </w14:textFill>
    </w:rPr>
    <w:tblPr>
      <w:tblBorders>
        <w:top w:val="single" w:color="808DDE" w:themeColor="accent4" w:sz="8" w:space="0"/>
        <w:bottom w:val="single" w:color="808DDE" w:themeColor="accent4" w:sz="8" w:space="0"/>
      </w:tblBorders>
    </w:tblPr>
    <w:tblStylePr w:type="firstRow">
      <w:rPr>
        <w:rFonts w:asciiTheme="majorHAnsi" w:hAnsiTheme="majorHAnsi" w:eastAsiaTheme="majorEastAsia" w:cstheme="majorBidi"/>
      </w:rPr>
      <w:tblPr/>
      <w:tcPr>
        <w:tcBorders>
          <w:top w:val="nil"/>
          <w:bottom w:val="single" w:color="808DDE" w:themeColor="accent4" w:sz="8" w:space="0"/>
        </w:tcBorders>
      </w:tcPr>
    </w:tblStylePr>
    <w:tblStylePr w:type="lastRow">
      <w:rPr>
        <w:b/>
        <w:bCs/>
        <w:color w:val="7F7F7F" w:themeColor="text2"/>
        <w14:textFill>
          <w14:solidFill>
            <w14:schemeClr w14:val="tx2"/>
          </w14:solidFill>
        </w14:textFill>
      </w:rPr>
      <w:tblPr/>
      <w:tcPr>
        <w:tcBorders>
          <w:top w:val="single" w:color="808DDE" w:themeColor="accent4" w:sz="8" w:space="0"/>
          <w:bottom w:val="single" w:color="808DDE" w:themeColor="accent4" w:sz="8" w:space="0"/>
        </w:tcBorders>
      </w:tcPr>
    </w:tblStylePr>
    <w:tblStylePr w:type="firstCol">
      <w:rPr>
        <w:b/>
        <w:bCs/>
      </w:rPr>
    </w:tblStylePr>
    <w:tblStylePr w:type="lastCol">
      <w:rPr>
        <w:b/>
        <w:bCs/>
      </w:rPr>
      <w:tblPr/>
      <w:tcPr>
        <w:tcBorders>
          <w:top w:val="single" w:color="808DDE" w:themeColor="accent4" w:sz="8" w:space="0"/>
          <w:bottom w:val="single" w:color="808DDE" w:themeColor="accent4" w:sz="8" w:space="0"/>
        </w:tcBorders>
      </w:tcPr>
    </w:tblStylePr>
    <w:tblStylePr w:type="band1Vert">
      <w:tblPr/>
      <w:tcPr>
        <w:shd w:val="clear" w:color="auto" w:fill="DFE2F6" w:themeFill="accent4" w:themeFillTint="3F"/>
      </w:tcPr>
    </w:tblStylePr>
    <w:tblStylePr w:type="band1Horz">
      <w:tblPr/>
      <w:tcPr>
        <w:shd w:val="clear" w:color="auto" w:fill="DFE2F6" w:themeFill="accent4" w:themeFillTint="3F"/>
      </w:tcPr>
    </w:tblStylePr>
  </w:style>
  <w:style w:type="table" w:styleId="195">
    <w:name w:val="Medium List 1 Accent 5"/>
    <w:basedOn w:val="16"/>
    <w:uiPriority w:val="65"/>
    <w:pPr>
      <w:spacing w:after="0" w:line="240" w:lineRule="auto"/>
    </w:pPr>
    <w:rPr>
      <w:color w:val="152C46" w:themeColor="text1"/>
      <w14:textFill>
        <w14:solidFill>
          <w14:schemeClr w14:val="tx1"/>
        </w14:solidFill>
      </w14:textFill>
    </w:rPr>
    <w:tblPr>
      <w:tblBorders>
        <w:top w:val="single" w:color="ED4D66" w:themeColor="accent5" w:sz="8" w:space="0"/>
        <w:bottom w:val="single" w:color="ED4D66" w:themeColor="accent5" w:sz="8" w:space="0"/>
      </w:tblBorders>
    </w:tblPr>
    <w:tblStylePr w:type="firstRow">
      <w:rPr>
        <w:rFonts w:asciiTheme="majorHAnsi" w:hAnsiTheme="majorHAnsi" w:eastAsiaTheme="majorEastAsia" w:cstheme="majorBidi"/>
      </w:rPr>
      <w:tblPr/>
      <w:tcPr>
        <w:tcBorders>
          <w:top w:val="nil"/>
          <w:bottom w:val="single" w:color="ED4D66" w:themeColor="accent5" w:sz="8" w:space="0"/>
        </w:tcBorders>
      </w:tcPr>
    </w:tblStylePr>
    <w:tblStylePr w:type="lastRow">
      <w:rPr>
        <w:b/>
        <w:bCs/>
        <w:color w:val="7F7F7F" w:themeColor="text2"/>
        <w14:textFill>
          <w14:solidFill>
            <w14:schemeClr w14:val="tx2"/>
          </w14:solidFill>
        </w14:textFill>
      </w:rPr>
      <w:tblPr/>
      <w:tcPr>
        <w:tcBorders>
          <w:top w:val="single" w:color="ED4D66" w:themeColor="accent5" w:sz="8" w:space="0"/>
          <w:bottom w:val="single" w:color="ED4D66" w:themeColor="accent5" w:sz="8" w:space="0"/>
        </w:tcBorders>
      </w:tcPr>
    </w:tblStylePr>
    <w:tblStylePr w:type="firstCol">
      <w:rPr>
        <w:b/>
        <w:bCs/>
      </w:rPr>
    </w:tblStylePr>
    <w:tblStylePr w:type="lastCol">
      <w:rPr>
        <w:b/>
        <w:bCs/>
      </w:rPr>
      <w:tblPr/>
      <w:tcPr>
        <w:tcBorders>
          <w:top w:val="single" w:color="ED4D66" w:themeColor="accent5" w:sz="8" w:space="0"/>
          <w:bottom w:val="single" w:color="ED4D66" w:themeColor="accent5" w:sz="8" w:space="0"/>
        </w:tcBorders>
      </w:tcPr>
    </w:tblStylePr>
    <w:tblStylePr w:type="band1Vert">
      <w:tblPr/>
      <w:tcPr>
        <w:shd w:val="clear" w:color="auto" w:fill="FAD3D9" w:themeFill="accent5" w:themeFillTint="3F"/>
      </w:tcPr>
    </w:tblStylePr>
    <w:tblStylePr w:type="band1Horz">
      <w:tblPr/>
      <w:tcPr>
        <w:shd w:val="clear" w:color="auto" w:fill="FAD3D9" w:themeFill="accent5" w:themeFillTint="3F"/>
      </w:tcPr>
    </w:tblStylePr>
  </w:style>
  <w:style w:type="table" w:styleId="196">
    <w:name w:val="Medium List 1 Accent 6"/>
    <w:basedOn w:val="16"/>
    <w:uiPriority w:val="65"/>
    <w:pPr>
      <w:spacing w:after="0" w:line="240" w:lineRule="auto"/>
    </w:pPr>
    <w:rPr>
      <w:color w:val="152C46" w:themeColor="text1"/>
      <w14:textFill>
        <w14:solidFill>
          <w14:schemeClr w14:val="tx1"/>
        </w14:solidFill>
      </w14:textFill>
    </w:rPr>
    <w:tblPr>
      <w:tblBorders>
        <w:top w:val="single" w:color="EEBC58" w:themeColor="accent6" w:sz="8" w:space="0"/>
        <w:bottom w:val="single" w:color="EEBC58" w:themeColor="accent6" w:sz="8" w:space="0"/>
      </w:tblBorders>
    </w:tblPr>
    <w:tblStylePr w:type="firstRow">
      <w:rPr>
        <w:rFonts w:asciiTheme="majorHAnsi" w:hAnsiTheme="majorHAnsi" w:eastAsiaTheme="majorEastAsia" w:cstheme="majorBidi"/>
      </w:rPr>
      <w:tblPr/>
      <w:tcPr>
        <w:tcBorders>
          <w:top w:val="nil"/>
          <w:bottom w:val="single" w:color="EEBC58" w:themeColor="accent6" w:sz="8" w:space="0"/>
        </w:tcBorders>
      </w:tcPr>
    </w:tblStylePr>
    <w:tblStylePr w:type="lastRow">
      <w:rPr>
        <w:b/>
        <w:bCs/>
        <w:color w:val="7F7F7F" w:themeColor="text2"/>
        <w14:textFill>
          <w14:solidFill>
            <w14:schemeClr w14:val="tx2"/>
          </w14:solidFill>
        </w14:textFill>
      </w:rPr>
      <w:tblPr/>
      <w:tcPr>
        <w:tcBorders>
          <w:top w:val="single" w:color="EEBC58" w:themeColor="accent6" w:sz="8" w:space="0"/>
          <w:bottom w:val="single" w:color="EEBC58" w:themeColor="accent6" w:sz="8" w:space="0"/>
        </w:tcBorders>
      </w:tcPr>
    </w:tblStylePr>
    <w:tblStylePr w:type="firstCol">
      <w:rPr>
        <w:b/>
        <w:bCs/>
      </w:rPr>
    </w:tblStylePr>
    <w:tblStylePr w:type="lastCol">
      <w:rPr>
        <w:b/>
        <w:bCs/>
      </w:rPr>
      <w:tblPr/>
      <w:tcPr>
        <w:tcBorders>
          <w:top w:val="single" w:color="EEBC58" w:themeColor="accent6" w:sz="8" w:space="0"/>
          <w:bottom w:val="single" w:color="EEBC58" w:themeColor="accent6" w:sz="8" w:space="0"/>
        </w:tcBorders>
      </w:tcPr>
    </w:tblStylePr>
    <w:tblStylePr w:type="band1Vert">
      <w:tblPr/>
      <w:tcPr>
        <w:shd w:val="clear" w:color="auto" w:fill="FAEED5" w:themeFill="accent6" w:themeFillTint="3F"/>
      </w:tcPr>
    </w:tblStylePr>
    <w:tblStylePr w:type="band1Horz">
      <w:tblPr/>
      <w:tcPr>
        <w:shd w:val="clear" w:color="auto" w:fill="FAEED5" w:themeFill="accent6" w:themeFillTint="3F"/>
      </w:tcPr>
    </w:tblStylePr>
  </w:style>
  <w:style w:type="table" w:styleId="197">
    <w:name w:val="Medium List 2"/>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152C46" w:themeColor="text1" w:sz="8" w:space="0"/>
        <w:left w:val="single" w:color="152C46" w:themeColor="text1" w:sz="8" w:space="0"/>
        <w:bottom w:val="single" w:color="152C46" w:themeColor="text1" w:sz="8" w:space="0"/>
        <w:right w:val="single" w:color="152C46" w:themeColor="text1" w:sz="8" w:space="0"/>
      </w:tblBorders>
    </w:tblPr>
    <w:tblStylePr w:type="firstRow">
      <w:rPr>
        <w:sz w:val="24"/>
        <w:szCs w:val="24"/>
      </w:rPr>
      <w:tblPr/>
      <w:tcPr>
        <w:tcBorders>
          <w:top w:val="nil"/>
          <w:left w:val="nil"/>
          <w:bottom w:val="single" w:color="152C46" w:themeColor="text1" w:sz="24" w:space="0"/>
          <w:right w:val="nil"/>
          <w:insideH w:val="nil"/>
          <w:insideV w:val="nil"/>
        </w:tcBorders>
        <w:shd w:val="clear" w:color="auto" w:fill="FFFFFF" w:themeFill="background1"/>
      </w:tcPr>
    </w:tblStylePr>
    <w:tblStylePr w:type="lastRow">
      <w:tblPr/>
      <w:tcPr>
        <w:tcBorders>
          <w:top w:val="single" w:color="152C46"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2C46" w:themeColor="text1" w:sz="8" w:space="0"/>
          <w:insideH w:val="nil"/>
          <w:insideV w:val="nil"/>
        </w:tcBorders>
        <w:shd w:val="clear" w:color="auto" w:fill="FFFFFF" w:themeFill="background1"/>
      </w:tcPr>
    </w:tblStylePr>
    <w:tblStylePr w:type="lastCol">
      <w:tblPr/>
      <w:tcPr>
        <w:tcBorders>
          <w:top w:val="nil"/>
          <w:left w:val="single" w:color="152C46"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C9E7" w:themeFill="text1" w:themeFillTint="3F"/>
      </w:tcPr>
    </w:tblStylePr>
    <w:tblStylePr w:type="band1Horz">
      <w:tblPr/>
      <w:tcPr>
        <w:tcBorders>
          <w:top w:val="nil"/>
          <w:bottom w:val="nil"/>
          <w:insideH w:val="nil"/>
          <w:insideV w:val="nil"/>
        </w:tcBorders>
        <w:shd w:val="clear" w:color="auto" w:fill="AFC9E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98">
    <w:name w:val="Medium List 2 Accent 1"/>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00E09E" w:themeColor="accent1" w:sz="8" w:space="0"/>
        <w:left w:val="single" w:color="00E09E" w:themeColor="accent1" w:sz="8" w:space="0"/>
        <w:bottom w:val="single" w:color="00E09E" w:themeColor="accent1" w:sz="8" w:space="0"/>
        <w:right w:val="single" w:color="00E09E" w:themeColor="accent1" w:sz="8" w:space="0"/>
      </w:tblBorders>
    </w:tblPr>
    <w:tblStylePr w:type="firstRow">
      <w:rPr>
        <w:sz w:val="24"/>
        <w:szCs w:val="24"/>
      </w:rPr>
      <w:tblPr/>
      <w:tcPr>
        <w:tcBorders>
          <w:top w:val="nil"/>
          <w:left w:val="nil"/>
          <w:bottom w:val="single" w:color="00E09E" w:themeColor="accent1" w:sz="24" w:space="0"/>
          <w:right w:val="nil"/>
          <w:insideH w:val="nil"/>
          <w:insideV w:val="nil"/>
        </w:tcBorders>
        <w:shd w:val="clear" w:color="auto" w:fill="FFFFFF" w:themeFill="background1"/>
      </w:tcPr>
    </w:tblStylePr>
    <w:tblStylePr w:type="lastRow">
      <w:tblPr/>
      <w:tcPr>
        <w:tcBorders>
          <w:top w:val="single" w:color="00E09E"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E09E" w:themeColor="accent1" w:sz="8" w:space="0"/>
          <w:insideH w:val="nil"/>
          <w:insideV w:val="nil"/>
        </w:tcBorders>
        <w:shd w:val="clear" w:color="auto" w:fill="FFFFFF" w:themeFill="background1"/>
      </w:tcPr>
    </w:tblStylePr>
    <w:tblStylePr w:type="lastCol">
      <w:tblPr/>
      <w:tcPr>
        <w:tcBorders>
          <w:top w:val="nil"/>
          <w:left w:val="single" w:color="00E09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FEA" w:themeFill="accent1" w:themeFillTint="3F"/>
      </w:tcPr>
    </w:tblStylePr>
    <w:tblStylePr w:type="band1Horz">
      <w:tblPr/>
      <w:tcPr>
        <w:tcBorders>
          <w:top w:val="nil"/>
          <w:bottom w:val="nil"/>
          <w:insideH w:val="nil"/>
          <w:insideV w:val="nil"/>
        </w:tcBorders>
        <w:shd w:val="clear" w:color="auto" w:fill="B8FF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99">
    <w:name w:val="Medium List 2 Accent 2"/>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41807F" w:themeColor="accent2" w:sz="8" w:space="0"/>
        <w:left w:val="single" w:color="41807F" w:themeColor="accent2" w:sz="8" w:space="0"/>
        <w:bottom w:val="single" w:color="41807F" w:themeColor="accent2" w:sz="8" w:space="0"/>
        <w:right w:val="single" w:color="41807F" w:themeColor="accent2" w:sz="8" w:space="0"/>
      </w:tblBorders>
    </w:tblPr>
    <w:tblStylePr w:type="firstRow">
      <w:rPr>
        <w:sz w:val="24"/>
        <w:szCs w:val="24"/>
      </w:rPr>
      <w:tblPr/>
      <w:tcPr>
        <w:tcBorders>
          <w:top w:val="nil"/>
          <w:left w:val="nil"/>
          <w:bottom w:val="single" w:color="41807F" w:themeColor="accent2" w:sz="24" w:space="0"/>
          <w:right w:val="nil"/>
          <w:insideH w:val="nil"/>
          <w:insideV w:val="nil"/>
        </w:tcBorders>
        <w:shd w:val="clear" w:color="auto" w:fill="FFFFFF" w:themeFill="background1"/>
      </w:tcPr>
    </w:tblStylePr>
    <w:tblStylePr w:type="lastRow">
      <w:tblPr/>
      <w:tcPr>
        <w:tcBorders>
          <w:top w:val="single" w:color="41807F"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1807F" w:themeColor="accent2" w:sz="8" w:space="0"/>
          <w:insideH w:val="nil"/>
          <w:insideV w:val="nil"/>
        </w:tcBorders>
        <w:shd w:val="clear" w:color="auto" w:fill="FFFFFF" w:themeFill="background1"/>
      </w:tcPr>
    </w:tblStylePr>
    <w:tblStylePr w:type="lastCol">
      <w:tblPr/>
      <w:tcPr>
        <w:tcBorders>
          <w:top w:val="nil"/>
          <w:left w:val="single" w:color="41807F"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4E4" w:themeFill="accent2" w:themeFillTint="3F"/>
      </w:tcPr>
    </w:tblStylePr>
    <w:tblStylePr w:type="band1Horz">
      <w:tblPr/>
      <w:tcPr>
        <w:tcBorders>
          <w:top w:val="nil"/>
          <w:bottom w:val="nil"/>
          <w:insideH w:val="nil"/>
          <w:insideV w:val="nil"/>
        </w:tcBorders>
        <w:shd w:val="clear" w:color="auto" w:fill="CBE4E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00">
    <w:name w:val="Medium List 2 Accent 3"/>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1E9FD7" w:themeColor="accent3" w:sz="8" w:space="0"/>
        <w:left w:val="single" w:color="1E9FD7" w:themeColor="accent3" w:sz="8" w:space="0"/>
        <w:bottom w:val="single" w:color="1E9FD7" w:themeColor="accent3" w:sz="8" w:space="0"/>
        <w:right w:val="single" w:color="1E9FD7" w:themeColor="accent3" w:sz="8" w:space="0"/>
      </w:tblBorders>
    </w:tblPr>
    <w:tblStylePr w:type="firstRow">
      <w:rPr>
        <w:sz w:val="24"/>
        <w:szCs w:val="24"/>
      </w:rPr>
      <w:tblPr/>
      <w:tcPr>
        <w:tcBorders>
          <w:top w:val="nil"/>
          <w:left w:val="nil"/>
          <w:bottom w:val="single" w:color="1E9FD7" w:themeColor="accent3" w:sz="24" w:space="0"/>
          <w:right w:val="nil"/>
          <w:insideH w:val="nil"/>
          <w:insideV w:val="nil"/>
        </w:tcBorders>
        <w:shd w:val="clear" w:color="auto" w:fill="FFFFFF" w:themeFill="background1"/>
      </w:tcPr>
    </w:tblStylePr>
    <w:tblStylePr w:type="lastRow">
      <w:tblPr/>
      <w:tcPr>
        <w:tcBorders>
          <w:top w:val="single" w:color="1E9FD7"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E9FD7" w:themeColor="accent3" w:sz="8" w:space="0"/>
          <w:insideH w:val="nil"/>
          <w:insideV w:val="nil"/>
        </w:tcBorders>
        <w:shd w:val="clear" w:color="auto" w:fill="FFFFFF" w:themeFill="background1"/>
      </w:tcPr>
    </w:tblStylePr>
    <w:tblStylePr w:type="lastCol">
      <w:tblPr/>
      <w:tcPr>
        <w:tcBorders>
          <w:top w:val="nil"/>
          <w:left w:val="single" w:color="1E9FD7"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8F6" w:themeFill="accent3" w:themeFillTint="3F"/>
      </w:tcPr>
    </w:tblStylePr>
    <w:tblStylePr w:type="band1Horz">
      <w:tblPr/>
      <w:tcPr>
        <w:tcBorders>
          <w:top w:val="nil"/>
          <w:bottom w:val="nil"/>
          <w:insideH w:val="nil"/>
          <w:insideV w:val="nil"/>
        </w:tcBorders>
        <w:shd w:val="clear" w:color="auto" w:fill="C5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01">
    <w:name w:val="Medium List 2 Accent 4"/>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808DDE" w:themeColor="accent4" w:sz="8" w:space="0"/>
        <w:left w:val="single" w:color="808DDE" w:themeColor="accent4" w:sz="8" w:space="0"/>
        <w:bottom w:val="single" w:color="808DDE" w:themeColor="accent4" w:sz="8" w:space="0"/>
        <w:right w:val="single" w:color="808DDE" w:themeColor="accent4" w:sz="8" w:space="0"/>
      </w:tblBorders>
    </w:tblPr>
    <w:tblStylePr w:type="firstRow">
      <w:rPr>
        <w:sz w:val="24"/>
        <w:szCs w:val="24"/>
      </w:rPr>
      <w:tblPr/>
      <w:tcPr>
        <w:tcBorders>
          <w:top w:val="nil"/>
          <w:left w:val="nil"/>
          <w:bottom w:val="single" w:color="808DDE" w:themeColor="accent4" w:sz="24" w:space="0"/>
          <w:right w:val="nil"/>
          <w:insideH w:val="nil"/>
          <w:insideV w:val="nil"/>
        </w:tcBorders>
        <w:shd w:val="clear" w:color="auto" w:fill="FFFFFF" w:themeFill="background1"/>
      </w:tcPr>
    </w:tblStylePr>
    <w:tblStylePr w:type="lastRow">
      <w:tblPr/>
      <w:tcPr>
        <w:tcBorders>
          <w:top w:val="single" w:color="808DDE"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8DDE" w:themeColor="accent4" w:sz="8" w:space="0"/>
          <w:insideH w:val="nil"/>
          <w:insideV w:val="nil"/>
        </w:tcBorders>
        <w:shd w:val="clear" w:color="auto" w:fill="FFFFFF" w:themeFill="background1"/>
      </w:tcPr>
    </w:tblStylePr>
    <w:tblStylePr w:type="lastCol">
      <w:tblPr/>
      <w:tcPr>
        <w:tcBorders>
          <w:top w:val="nil"/>
          <w:left w:val="single" w:color="808DDE"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2F6" w:themeFill="accent4" w:themeFillTint="3F"/>
      </w:tcPr>
    </w:tblStylePr>
    <w:tblStylePr w:type="band1Horz">
      <w:tblPr/>
      <w:tcPr>
        <w:tcBorders>
          <w:top w:val="nil"/>
          <w:bottom w:val="nil"/>
          <w:insideH w:val="nil"/>
          <w:insideV w:val="nil"/>
        </w:tcBorders>
        <w:shd w:val="clear" w:color="auto" w:fill="DFE2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02">
    <w:name w:val="Medium List 2 Accent 5"/>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ED4D66" w:themeColor="accent5" w:sz="8" w:space="0"/>
        <w:left w:val="single" w:color="ED4D66" w:themeColor="accent5" w:sz="8" w:space="0"/>
        <w:bottom w:val="single" w:color="ED4D66" w:themeColor="accent5" w:sz="8" w:space="0"/>
        <w:right w:val="single" w:color="ED4D66" w:themeColor="accent5" w:sz="8" w:space="0"/>
      </w:tblBorders>
    </w:tblPr>
    <w:tblStylePr w:type="firstRow">
      <w:rPr>
        <w:sz w:val="24"/>
        <w:szCs w:val="24"/>
      </w:rPr>
      <w:tblPr/>
      <w:tcPr>
        <w:tcBorders>
          <w:top w:val="nil"/>
          <w:left w:val="nil"/>
          <w:bottom w:val="single" w:color="ED4D66" w:themeColor="accent5" w:sz="24" w:space="0"/>
          <w:right w:val="nil"/>
          <w:insideH w:val="nil"/>
          <w:insideV w:val="nil"/>
        </w:tcBorders>
        <w:shd w:val="clear" w:color="auto" w:fill="FFFFFF" w:themeFill="background1"/>
      </w:tcPr>
    </w:tblStylePr>
    <w:tblStylePr w:type="lastRow">
      <w:tblPr/>
      <w:tcPr>
        <w:tcBorders>
          <w:top w:val="single" w:color="ED4D6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4D66" w:themeColor="accent5" w:sz="8" w:space="0"/>
          <w:insideH w:val="nil"/>
          <w:insideV w:val="nil"/>
        </w:tcBorders>
        <w:shd w:val="clear" w:color="auto" w:fill="FFFFFF" w:themeFill="background1"/>
      </w:tcPr>
    </w:tblStylePr>
    <w:tblStylePr w:type="lastCol">
      <w:tblPr/>
      <w:tcPr>
        <w:tcBorders>
          <w:top w:val="nil"/>
          <w:left w:val="single" w:color="ED4D6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3D9" w:themeFill="accent5" w:themeFillTint="3F"/>
      </w:tcPr>
    </w:tblStylePr>
    <w:tblStylePr w:type="band1Horz">
      <w:tblPr/>
      <w:tcPr>
        <w:tcBorders>
          <w:top w:val="nil"/>
          <w:bottom w:val="nil"/>
          <w:insideH w:val="nil"/>
          <w:insideV w:val="nil"/>
        </w:tcBorders>
        <w:shd w:val="clear" w:color="auto" w:fill="FAD3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03">
    <w:name w:val="Medium List 2 Accent 6"/>
    <w:basedOn w:val="16"/>
    <w:uiPriority w:val="66"/>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EEBC58" w:themeColor="accent6" w:sz="8" w:space="0"/>
        <w:left w:val="single" w:color="EEBC58" w:themeColor="accent6" w:sz="8" w:space="0"/>
        <w:bottom w:val="single" w:color="EEBC58" w:themeColor="accent6" w:sz="8" w:space="0"/>
        <w:right w:val="single" w:color="EEBC58" w:themeColor="accent6" w:sz="8" w:space="0"/>
      </w:tblBorders>
    </w:tblPr>
    <w:tblStylePr w:type="firstRow">
      <w:rPr>
        <w:sz w:val="24"/>
        <w:szCs w:val="24"/>
      </w:rPr>
      <w:tblPr/>
      <w:tcPr>
        <w:tcBorders>
          <w:top w:val="nil"/>
          <w:left w:val="nil"/>
          <w:bottom w:val="single" w:color="EEBC58" w:themeColor="accent6" w:sz="24" w:space="0"/>
          <w:right w:val="nil"/>
          <w:insideH w:val="nil"/>
          <w:insideV w:val="nil"/>
        </w:tcBorders>
        <w:shd w:val="clear" w:color="auto" w:fill="FFFFFF" w:themeFill="background1"/>
      </w:tcPr>
    </w:tblStylePr>
    <w:tblStylePr w:type="lastRow">
      <w:tblPr/>
      <w:tcPr>
        <w:tcBorders>
          <w:top w:val="single" w:color="EEBC58"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EBC58" w:themeColor="accent6" w:sz="8" w:space="0"/>
          <w:insideH w:val="nil"/>
          <w:insideV w:val="nil"/>
        </w:tcBorders>
        <w:shd w:val="clear" w:color="auto" w:fill="FFFFFF" w:themeFill="background1"/>
      </w:tcPr>
    </w:tblStylePr>
    <w:tblStylePr w:type="lastCol">
      <w:tblPr/>
      <w:tcPr>
        <w:tcBorders>
          <w:top w:val="nil"/>
          <w:left w:val="single" w:color="EEBC58"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ED5" w:themeFill="accent6" w:themeFillTint="3F"/>
      </w:tcPr>
    </w:tblStylePr>
    <w:tblStylePr w:type="band1Horz">
      <w:tblPr/>
      <w:tcPr>
        <w:tcBorders>
          <w:top w:val="nil"/>
          <w:bottom w:val="nil"/>
          <w:insideH w:val="nil"/>
          <w:insideV w:val="nil"/>
        </w:tcBorders>
        <w:shd w:val="clear" w:color="auto" w:fill="FA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04">
    <w:name w:val="Medium Grid 1"/>
    <w:basedOn w:val="16"/>
    <w:uiPriority w:val="67"/>
    <w:pPr>
      <w:spacing w:after="0" w:line="240" w:lineRule="auto"/>
    </w:pPr>
    <w:tblPr>
      <w:tblBorders>
        <w:top w:val="single" w:color="2D5E96" w:themeColor="text1" w:themeTint="BF" w:sz="8" w:space="0"/>
        <w:left w:val="single" w:color="2D5E96" w:themeColor="text1" w:themeTint="BF" w:sz="8" w:space="0"/>
        <w:bottom w:val="single" w:color="2D5E96" w:themeColor="text1" w:themeTint="BF" w:sz="8" w:space="0"/>
        <w:right w:val="single" w:color="2D5E96" w:themeColor="text1" w:themeTint="BF" w:sz="8" w:space="0"/>
        <w:insideH w:val="single" w:color="2D5E96" w:themeColor="text1" w:themeTint="BF" w:sz="8" w:space="0"/>
        <w:insideV w:val="single" w:color="2D5E96" w:themeColor="text1" w:themeTint="BF" w:sz="8" w:space="0"/>
      </w:tblBorders>
    </w:tblPr>
    <w:tcPr>
      <w:shd w:val="clear" w:color="auto" w:fill="AFC9E7" w:themeFill="text1" w:themeFillTint="3F"/>
    </w:tcPr>
    <w:tblStylePr w:type="firstRow">
      <w:rPr>
        <w:b/>
        <w:bCs/>
      </w:rPr>
    </w:tblStylePr>
    <w:tblStylePr w:type="lastRow">
      <w:rPr>
        <w:b/>
        <w:bCs/>
      </w:rPr>
      <w:tblPr/>
      <w:tcPr>
        <w:tcBorders>
          <w:top w:val="single" w:color="2D5E96" w:themeColor="text1" w:themeTint="BF" w:sz="18" w:space="0"/>
        </w:tcBorders>
      </w:tcPr>
    </w:tblStylePr>
    <w:tblStylePr w:type="firstCol">
      <w:rPr>
        <w:b/>
        <w:bCs/>
      </w:rPr>
    </w:tblStylePr>
    <w:tblStylePr w:type="lastCol">
      <w:rPr>
        <w:b/>
        <w:bCs/>
      </w:rPr>
    </w:tblStylePr>
    <w:tblStylePr w:type="band1Vert">
      <w:tblPr/>
      <w:tcPr>
        <w:shd w:val="clear" w:color="auto" w:fill="5E93CE" w:themeFill="text1" w:themeFillTint="7F"/>
      </w:tcPr>
    </w:tblStylePr>
    <w:tblStylePr w:type="band1Horz">
      <w:tblPr/>
      <w:tcPr>
        <w:shd w:val="clear" w:color="auto" w:fill="5E93CE" w:themeFill="text1" w:themeFillTint="7F"/>
      </w:tcPr>
    </w:tblStylePr>
  </w:style>
  <w:style w:type="table" w:styleId="205">
    <w:name w:val="Medium Grid 1 Accent 1"/>
    <w:basedOn w:val="16"/>
    <w:uiPriority w:val="67"/>
    <w:pPr>
      <w:spacing w:after="0" w:line="240" w:lineRule="auto"/>
    </w:pPr>
    <w:tblPr>
      <w:tblBorders>
        <w:top w:val="single" w:color="28FFBF" w:themeColor="accent1" w:themeTint="BF" w:sz="8" w:space="0"/>
        <w:left w:val="single" w:color="28FFBF" w:themeColor="accent1" w:themeTint="BF" w:sz="8" w:space="0"/>
        <w:bottom w:val="single" w:color="28FFBF" w:themeColor="accent1" w:themeTint="BF" w:sz="8" w:space="0"/>
        <w:right w:val="single" w:color="28FFBF" w:themeColor="accent1" w:themeTint="BF" w:sz="8" w:space="0"/>
        <w:insideH w:val="single" w:color="28FFBF" w:themeColor="accent1" w:themeTint="BF" w:sz="8" w:space="0"/>
        <w:insideV w:val="single" w:color="28FFBF" w:themeColor="accent1" w:themeTint="BF" w:sz="8" w:space="0"/>
      </w:tblBorders>
    </w:tblPr>
    <w:tcPr>
      <w:shd w:val="clear" w:color="auto" w:fill="B8FFEA" w:themeFill="accent1" w:themeFillTint="3F"/>
    </w:tcPr>
    <w:tblStylePr w:type="firstRow">
      <w:rPr>
        <w:b/>
        <w:bCs/>
      </w:rPr>
    </w:tblStylePr>
    <w:tblStylePr w:type="lastRow">
      <w:rPr>
        <w:b/>
        <w:bCs/>
      </w:rPr>
      <w:tblPr/>
      <w:tcPr>
        <w:tcBorders>
          <w:top w:val="single" w:color="28FFBF" w:themeColor="accent1" w:themeTint="BF" w:sz="18" w:space="0"/>
        </w:tcBorders>
      </w:tcPr>
    </w:tblStylePr>
    <w:tblStylePr w:type="firstCol">
      <w:rPr>
        <w:b/>
        <w:bCs/>
      </w:rPr>
    </w:tblStylePr>
    <w:tblStylePr w:type="lastCol">
      <w:rPr>
        <w:b/>
        <w:bCs/>
      </w:rPr>
    </w:tblStylePr>
    <w:tblStylePr w:type="band1Vert">
      <w:tblPr/>
      <w:tcPr>
        <w:shd w:val="clear" w:color="auto" w:fill="70FED5" w:themeFill="accent1" w:themeFillTint="7F"/>
      </w:tcPr>
    </w:tblStylePr>
    <w:tblStylePr w:type="band1Horz">
      <w:tblPr/>
      <w:tcPr>
        <w:shd w:val="clear" w:color="auto" w:fill="70FED5" w:themeFill="accent1" w:themeFillTint="7F"/>
      </w:tcPr>
    </w:tblStylePr>
  </w:style>
  <w:style w:type="table" w:styleId="206">
    <w:name w:val="Medium Grid 1 Accent 2"/>
    <w:basedOn w:val="16"/>
    <w:uiPriority w:val="67"/>
    <w:pPr>
      <w:spacing w:after="0" w:line="240" w:lineRule="auto"/>
    </w:pPr>
    <w:tblPr>
      <w:tblBorders>
        <w:top w:val="single" w:color="61AFAD" w:themeColor="accent2" w:themeTint="BF" w:sz="8" w:space="0"/>
        <w:left w:val="single" w:color="61AFAD" w:themeColor="accent2" w:themeTint="BF" w:sz="8" w:space="0"/>
        <w:bottom w:val="single" w:color="61AFAD" w:themeColor="accent2" w:themeTint="BF" w:sz="8" w:space="0"/>
        <w:right w:val="single" w:color="61AFAD" w:themeColor="accent2" w:themeTint="BF" w:sz="8" w:space="0"/>
        <w:insideH w:val="single" w:color="61AFAD" w:themeColor="accent2" w:themeTint="BF" w:sz="8" w:space="0"/>
        <w:insideV w:val="single" w:color="61AFAD" w:themeColor="accent2" w:themeTint="BF" w:sz="8" w:space="0"/>
      </w:tblBorders>
    </w:tblPr>
    <w:tcPr>
      <w:shd w:val="clear" w:color="auto" w:fill="CBE4E4" w:themeFill="accent2" w:themeFillTint="3F"/>
    </w:tcPr>
    <w:tblStylePr w:type="firstRow">
      <w:rPr>
        <w:b/>
        <w:bCs/>
      </w:rPr>
    </w:tblStylePr>
    <w:tblStylePr w:type="lastRow">
      <w:rPr>
        <w:b/>
        <w:bCs/>
      </w:rPr>
      <w:tblPr/>
      <w:tcPr>
        <w:tcBorders>
          <w:top w:val="single" w:color="61AFAD" w:themeColor="accent2" w:themeTint="BF" w:sz="18" w:space="0"/>
        </w:tcBorders>
      </w:tcPr>
    </w:tblStylePr>
    <w:tblStylePr w:type="firstCol">
      <w:rPr>
        <w:b/>
        <w:bCs/>
      </w:rPr>
    </w:tblStylePr>
    <w:tblStylePr w:type="lastCol">
      <w:rPr>
        <w:b/>
        <w:bCs/>
      </w:rPr>
    </w:tblStylePr>
    <w:tblStylePr w:type="band1Vert">
      <w:tblPr/>
      <w:tcPr>
        <w:shd w:val="clear" w:color="auto" w:fill="96C9C9" w:themeFill="accent2" w:themeFillTint="7F"/>
      </w:tcPr>
    </w:tblStylePr>
    <w:tblStylePr w:type="band1Horz">
      <w:tblPr/>
      <w:tcPr>
        <w:shd w:val="clear" w:color="auto" w:fill="96C9C9" w:themeFill="accent2" w:themeFillTint="7F"/>
      </w:tcPr>
    </w:tblStylePr>
  </w:style>
  <w:style w:type="table" w:styleId="207">
    <w:name w:val="Medium Grid 1 Accent 3"/>
    <w:basedOn w:val="16"/>
    <w:uiPriority w:val="67"/>
    <w:pPr>
      <w:spacing w:after="0" w:line="240" w:lineRule="auto"/>
    </w:pPr>
    <w:tblPr>
      <w:tblBorders>
        <w:top w:val="single" w:color="50B9E6" w:themeColor="accent3" w:themeTint="BF" w:sz="8" w:space="0"/>
        <w:left w:val="single" w:color="50B9E6" w:themeColor="accent3" w:themeTint="BF" w:sz="8" w:space="0"/>
        <w:bottom w:val="single" w:color="50B9E6" w:themeColor="accent3" w:themeTint="BF" w:sz="8" w:space="0"/>
        <w:right w:val="single" w:color="50B9E6" w:themeColor="accent3" w:themeTint="BF" w:sz="8" w:space="0"/>
        <w:insideH w:val="single" w:color="50B9E6" w:themeColor="accent3" w:themeTint="BF" w:sz="8" w:space="0"/>
        <w:insideV w:val="single" w:color="50B9E6" w:themeColor="accent3" w:themeTint="BF" w:sz="8" w:space="0"/>
      </w:tblBorders>
    </w:tblPr>
    <w:tcPr>
      <w:shd w:val="clear" w:color="auto" w:fill="C5E8F6" w:themeFill="accent3" w:themeFillTint="3F"/>
    </w:tcPr>
    <w:tblStylePr w:type="firstRow">
      <w:rPr>
        <w:b/>
        <w:bCs/>
      </w:rPr>
    </w:tblStylePr>
    <w:tblStylePr w:type="lastRow">
      <w:rPr>
        <w:b/>
        <w:bCs/>
      </w:rPr>
      <w:tblPr/>
      <w:tcPr>
        <w:tcBorders>
          <w:top w:val="single" w:color="50B9E6" w:themeColor="accent3" w:themeTint="BF" w:sz="18" w:space="0"/>
        </w:tcBorders>
      </w:tcPr>
    </w:tblStylePr>
    <w:tblStylePr w:type="firstCol">
      <w:rPr>
        <w:b/>
        <w:bCs/>
      </w:rPr>
    </w:tblStylePr>
    <w:tblStylePr w:type="lastCol">
      <w:rPr>
        <w:b/>
        <w:bCs/>
      </w:rPr>
    </w:tblStylePr>
    <w:tblStylePr w:type="band1Vert">
      <w:tblPr/>
      <w:tcPr>
        <w:shd w:val="clear" w:color="auto" w:fill="8BD0EE" w:themeFill="accent3" w:themeFillTint="7F"/>
      </w:tcPr>
    </w:tblStylePr>
    <w:tblStylePr w:type="band1Horz">
      <w:tblPr/>
      <w:tcPr>
        <w:shd w:val="clear" w:color="auto" w:fill="8BD0EE" w:themeFill="accent3" w:themeFillTint="7F"/>
      </w:tcPr>
    </w:tblStylePr>
  </w:style>
  <w:style w:type="table" w:styleId="208">
    <w:name w:val="Medium Grid 1 Accent 4"/>
    <w:basedOn w:val="16"/>
    <w:uiPriority w:val="67"/>
    <w:pPr>
      <w:spacing w:after="0" w:line="240" w:lineRule="auto"/>
    </w:pPr>
    <w:tblPr>
      <w:tblBorders>
        <w:top w:val="single" w:color="9FA9E6" w:themeColor="accent4" w:themeTint="BF" w:sz="8" w:space="0"/>
        <w:left w:val="single" w:color="9FA9E6" w:themeColor="accent4" w:themeTint="BF" w:sz="8" w:space="0"/>
        <w:bottom w:val="single" w:color="9FA9E6" w:themeColor="accent4" w:themeTint="BF" w:sz="8" w:space="0"/>
        <w:right w:val="single" w:color="9FA9E6" w:themeColor="accent4" w:themeTint="BF" w:sz="8" w:space="0"/>
        <w:insideH w:val="single" w:color="9FA9E6" w:themeColor="accent4" w:themeTint="BF" w:sz="8" w:space="0"/>
        <w:insideV w:val="single" w:color="9FA9E6" w:themeColor="accent4" w:themeTint="BF" w:sz="8" w:space="0"/>
      </w:tblBorders>
    </w:tblPr>
    <w:tcPr>
      <w:shd w:val="clear" w:color="auto" w:fill="DFE2F6" w:themeFill="accent4" w:themeFillTint="3F"/>
    </w:tcPr>
    <w:tblStylePr w:type="firstRow">
      <w:rPr>
        <w:b/>
        <w:bCs/>
      </w:rPr>
    </w:tblStylePr>
    <w:tblStylePr w:type="lastRow">
      <w:rPr>
        <w:b/>
        <w:bCs/>
      </w:rPr>
      <w:tblPr/>
      <w:tcPr>
        <w:tcBorders>
          <w:top w:val="single" w:color="9FA9E6" w:themeColor="accent4" w:themeTint="BF" w:sz="18" w:space="0"/>
        </w:tcBorders>
      </w:tcPr>
    </w:tblStylePr>
    <w:tblStylePr w:type="firstCol">
      <w:rPr>
        <w:b/>
        <w:bCs/>
      </w:rPr>
    </w:tblStylePr>
    <w:tblStylePr w:type="lastCol">
      <w:rPr>
        <w:b/>
        <w:bCs/>
      </w:rPr>
    </w:tblStylePr>
    <w:tblStylePr w:type="band1Vert">
      <w:tblPr/>
      <w:tcPr>
        <w:shd w:val="clear" w:color="auto" w:fill="BFC6EE" w:themeFill="accent4" w:themeFillTint="7F"/>
      </w:tcPr>
    </w:tblStylePr>
    <w:tblStylePr w:type="band1Horz">
      <w:tblPr/>
      <w:tcPr>
        <w:shd w:val="clear" w:color="auto" w:fill="BFC6EE" w:themeFill="accent4" w:themeFillTint="7F"/>
      </w:tcPr>
    </w:tblStylePr>
  </w:style>
  <w:style w:type="table" w:styleId="209">
    <w:name w:val="Medium Grid 1 Accent 5"/>
    <w:basedOn w:val="16"/>
    <w:uiPriority w:val="67"/>
    <w:pPr>
      <w:spacing w:after="0" w:line="240" w:lineRule="auto"/>
    </w:pPr>
    <w:tblPr>
      <w:tblBorders>
        <w:top w:val="single" w:color="F1798C" w:themeColor="accent5" w:themeTint="BF" w:sz="8" w:space="0"/>
        <w:left w:val="single" w:color="F1798C" w:themeColor="accent5" w:themeTint="BF" w:sz="8" w:space="0"/>
        <w:bottom w:val="single" w:color="F1798C" w:themeColor="accent5" w:themeTint="BF" w:sz="8" w:space="0"/>
        <w:right w:val="single" w:color="F1798C" w:themeColor="accent5" w:themeTint="BF" w:sz="8" w:space="0"/>
        <w:insideH w:val="single" w:color="F1798C" w:themeColor="accent5" w:themeTint="BF" w:sz="8" w:space="0"/>
        <w:insideV w:val="single" w:color="F1798C" w:themeColor="accent5" w:themeTint="BF" w:sz="8" w:space="0"/>
      </w:tblBorders>
    </w:tblPr>
    <w:tcPr>
      <w:shd w:val="clear" w:color="auto" w:fill="FAD3D9" w:themeFill="accent5" w:themeFillTint="3F"/>
    </w:tcPr>
    <w:tblStylePr w:type="firstRow">
      <w:rPr>
        <w:b/>
        <w:bCs/>
      </w:rPr>
    </w:tblStylePr>
    <w:tblStylePr w:type="lastRow">
      <w:rPr>
        <w:b/>
        <w:bCs/>
      </w:rPr>
      <w:tblPr/>
      <w:tcPr>
        <w:tcBorders>
          <w:top w:val="single" w:color="F1798C" w:themeColor="accent5" w:themeTint="BF" w:sz="18" w:space="0"/>
        </w:tcBorders>
      </w:tcPr>
    </w:tblStylePr>
    <w:tblStylePr w:type="firstCol">
      <w:rPr>
        <w:b/>
        <w:bCs/>
      </w:rPr>
    </w:tblStylePr>
    <w:tblStylePr w:type="lastCol">
      <w:rPr>
        <w:b/>
        <w:bCs/>
      </w:rPr>
    </w:tblStylePr>
    <w:tblStylePr w:type="band1Vert">
      <w:tblPr/>
      <w:tcPr>
        <w:shd w:val="clear" w:color="auto" w:fill="F6A6B2" w:themeFill="accent5" w:themeFillTint="7F"/>
      </w:tcPr>
    </w:tblStylePr>
    <w:tblStylePr w:type="band1Horz">
      <w:tblPr/>
      <w:tcPr>
        <w:shd w:val="clear" w:color="auto" w:fill="F6A6B2" w:themeFill="accent5" w:themeFillTint="7F"/>
      </w:tcPr>
    </w:tblStylePr>
  </w:style>
  <w:style w:type="table" w:styleId="210">
    <w:name w:val="Medium Grid 1 Accent 6"/>
    <w:basedOn w:val="16"/>
    <w:uiPriority w:val="67"/>
    <w:pPr>
      <w:spacing w:after="0" w:line="240" w:lineRule="auto"/>
    </w:pPr>
    <w:tblPr>
      <w:tblBorders>
        <w:top w:val="single" w:color="F2CC81" w:themeColor="accent6" w:themeTint="BF" w:sz="8" w:space="0"/>
        <w:left w:val="single" w:color="F2CC81" w:themeColor="accent6" w:themeTint="BF" w:sz="8" w:space="0"/>
        <w:bottom w:val="single" w:color="F2CC81" w:themeColor="accent6" w:themeTint="BF" w:sz="8" w:space="0"/>
        <w:right w:val="single" w:color="F2CC81" w:themeColor="accent6" w:themeTint="BF" w:sz="8" w:space="0"/>
        <w:insideH w:val="single" w:color="F2CC81" w:themeColor="accent6" w:themeTint="BF" w:sz="8" w:space="0"/>
        <w:insideV w:val="single" w:color="F2CC81" w:themeColor="accent6" w:themeTint="BF" w:sz="8" w:space="0"/>
      </w:tblBorders>
    </w:tblPr>
    <w:tcPr>
      <w:shd w:val="clear" w:color="auto" w:fill="FAEED5" w:themeFill="accent6" w:themeFillTint="3F"/>
    </w:tcPr>
    <w:tblStylePr w:type="firstRow">
      <w:rPr>
        <w:b/>
        <w:bCs/>
      </w:rPr>
    </w:tblStylePr>
    <w:tblStylePr w:type="lastRow">
      <w:rPr>
        <w:b/>
        <w:bCs/>
      </w:rPr>
      <w:tblPr/>
      <w:tcPr>
        <w:tcBorders>
          <w:top w:val="single" w:color="F2CC81" w:themeColor="accent6" w:themeTint="BF" w:sz="18" w:space="0"/>
        </w:tcBorders>
      </w:tcPr>
    </w:tblStylePr>
    <w:tblStylePr w:type="firstCol">
      <w:rPr>
        <w:b/>
        <w:bCs/>
      </w:rPr>
    </w:tblStylePr>
    <w:tblStylePr w:type="lastCol">
      <w:rPr>
        <w:b/>
        <w:bCs/>
      </w:rPr>
    </w:tblStylePr>
    <w:tblStylePr w:type="band1Vert">
      <w:tblPr/>
      <w:tcPr>
        <w:shd w:val="clear" w:color="auto" w:fill="F6DDAB" w:themeFill="accent6" w:themeFillTint="7F"/>
      </w:tcPr>
    </w:tblStylePr>
    <w:tblStylePr w:type="band1Horz">
      <w:tblPr/>
      <w:tcPr>
        <w:shd w:val="clear" w:color="auto" w:fill="F6DDAB" w:themeFill="accent6" w:themeFillTint="7F"/>
      </w:tcPr>
    </w:tblStylePr>
  </w:style>
  <w:style w:type="table" w:styleId="211">
    <w:name w:val="Medium Grid 2"/>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152C46" w:themeColor="text1" w:sz="8" w:space="0"/>
        <w:left w:val="single" w:color="152C46" w:themeColor="text1" w:sz="8" w:space="0"/>
        <w:bottom w:val="single" w:color="152C46" w:themeColor="text1" w:sz="8" w:space="0"/>
        <w:right w:val="single" w:color="152C46" w:themeColor="text1" w:sz="8" w:space="0"/>
        <w:insideH w:val="single" w:color="152C46" w:themeColor="text1" w:sz="8" w:space="0"/>
        <w:insideV w:val="single" w:color="152C46" w:themeColor="text1" w:sz="8" w:space="0"/>
      </w:tblBorders>
    </w:tblPr>
    <w:tcPr>
      <w:shd w:val="clear" w:color="auto" w:fill="AFC9E7" w:themeFill="text1" w:themeFillTint="3F"/>
    </w:tcPr>
    <w:tblStylePr w:type="firstRow">
      <w:rPr>
        <w:b/>
        <w:bCs/>
        <w:color w:val="152C46" w:themeColor="text1"/>
        <w14:textFill>
          <w14:solidFill>
            <w14:schemeClr w14:val="tx1"/>
          </w14:solidFill>
        </w14:textFill>
      </w:rPr>
      <w:tblPr/>
      <w:tcPr>
        <w:shd w:val="clear" w:color="auto" w:fill="DFE9F5" w:themeFill="text1"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BED3EB" w:themeFill="text1" w:themeFillTint="33"/>
      </w:tcPr>
    </w:tblStylePr>
    <w:tblStylePr w:type="band1Vert">
      <w:tblPr/>
      <w:tcPr>
        <w:shd w:val="clear" w:color="auto" w:fill="5E93CE" w:themeFill="text1" w:themeFillTint="7F"/>
      </w:tcPr>
    </w:tblStylePr>
    <w:tblStylePr w:type="band1Horz">
      <w:tblPr/>
      <w:tcPr>
        <w:tcBorders>
          <w:insideH w:val="single" w:sz="6" w:space="0"/>
          <w:insideV w:val="single" w:sz="6" w:space="0"/>
        </w:tcBorders>
        <w:shd w:val="clear" w:color="auto" w:fill="5E93CE" w:themeFill="text1" w:themeFillTint="7F"/>
      </w:tcPr>
    </w:tblStylePr>
    <w:tblStylePr w:type="nwCell">
      <w:tblPr/>
      <w:tcPr>
        <w:shd w:val="clear" w:color="auto" w:fill="FFFFFF" w:themeFill="background1"/>
      </w:tcPr>
    </w:tblStylePr>
  </w:style>
  <w:style w:type="table" w:styleId="212">
    <w:name w:val="Medium Grid 2 Accent 1"/>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00E09E" w:themeColor="accent1" w:sz="8" w:space="0"/>
        <w:left w:val="single" w:color="00E09E" w:themeColor="accent1" w:sz="8" w:space="0"/>
        <w:bottom w:val="single" w:color="00E09E" w:themeColor="accent1" w:sz="8" w:space="0"/>
        <w:right w:val="single" w:color="00E09E" w:themeColor="accent1" w:sz="8" w:space="0"/>
        <w:insideH w:val="single" w:color="00E09E" w:themeColor="accent1" w:sz="8" w:space="0"/>
        <w:insideV w:val="single" w:color="00E09E" w:themeColor="accent1" w:sz="8" w:space="0"/>
      </w:tblBorders>
    </w:tblPr>
    <w:tcPr>
      <w:shd w:val="clear" w:color="auto" w:fill="B8FFEA" w:themeFill="accent1" w:themeFillTint="3F"/>
    </w:tcPr>
    <w:tblStylePr w:type="firstRow">
      <w:rPr>
        <w:b/>
        <w:bCs/>
        <w:color w:val="152C46" w:themeColor="text1"/>
        <w14:textFill>
          <w14:solidFill>
            <w14:schemeClr w14:val="tx1"/>
          </w14:solidFill>
        </w14:textFill>
      </w:rPr>
      <w:tblPr/>
      <w:tcPr>
        <w:shd w:val="clear" w:color="auto" w:fill="E2FFF6" w:themeFill="accent1"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C5FFEE" w:themeFill="accent1" w:themeFillTint="33"/>
      </w:tcPr>
    </w:tblStylePr>
    <w:tblStylePr w:type="band1Vert">
      <w:tblPr/>
      <w:tcPr>
        <w:shd w:val="clear" w:color="auto" w:fill="70FED5" w:themeFill="accent1" w:themeFillTint="7F"/>
      </w:tcPr>
    </w:tblStylePr>
    <w:tblStylePr w:type="band1Horz">
      <w:tblPr/>
      <w:tcPr>
        <w:tcBorders>
          <w:insideH w:val="single" w:sz="6" w:space="0"/>
          <w:insideV w:val="single" w:sz="6" w:space="0"/>
        </w:tcBorders>
        <w:shd w:val="clear" w:color="auto" w:fill="70FED5" w:themeFill="accent1" w:themeFillTint="7F"/>
      </w:tcPr>
    </w:tblStylePr>
    <w:tblStylePr w:type="nwCell">
      <w:tblPr/>
      <w:tcPr>
        <w:shd w:val="clear" w:color="auto" w:fill="FFFFFF" w:themeFill="background1"/>
      </w:tcPr>
    </w:tblStylePr>
  </w:style>
  <w:style w:type="table" w:styleId="213">
    <w:name w:val="Medium Grid 2 Accent 2"/>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41807F" w:themeColor="accent2" w:sz="8" w:space="0"/>
        <w:left w:val="single" w:color="41807F" w:themeColor="accent2" w:sz="8" w:space="0"/>
        <w:bottom w:val="single" w:color="41807F" w:themeColor="accent2" w:sz="8" w:space="0"/>
        <w:right w:val="single" w:color="41807F" w:themeColor="accent2" w:sz="8" w:space="0"/>
        <w:insideH w:val="single" w:color="41807F" w:themeColor="accent2" w:sz="8" w:space="0"/>
        <w:insideV w:val="single" w:color="41807F" w:themeColor="accent2" w:sz="8" w:space="0"/>
      </w:tblBorders>
    </w:tblPr>
    <w:tcPr>
      <w:shd w:val="clear" w:color="auto" w:fill="CBE4E4" w:themeFill="accent2" w:themeFillTint="3F"/>
    </w:tcPr>
    <w:tblStylePr w:type="firstRow">
      <w:rPr>
        <w:b/>
        <w:bCs/>
        <w:color w:val="152C46" w:themeColor="text1"/>
        <w14:textFill>
          <w14:solidFill>
            <w14:schemeClr w14:val="tx1"/>
          </w14:solidFill>
        </w14:textFill>
      </w:rPr>
      <w:tblPr/>
      <w:tcPr>
        <w:shd w:val="clear" w:color="auto" w:fill="EAF4F4" w:themeFill="accent2"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D4E9E9" w:themeFill="accent2" w:themeFillTint="33"/>
      </w:tcPr>
    </w:tblStylePr>
    <w:tblStylePr w:type="band1Vert">
      <w:tblPr/>
      <w:tcPr>
        <w:shd w:val="clear" w:color="auto" w:fill="96C9C9" w:themeFill="accent2" w:themeFillTint="7F"/>
      </w:tcPr>
    </w:tblStylePr>
    <w:tblStylePr w:type="band1Horz">
      <w:tblPr/>
      <w:tcPr>
        <w:tcBorders>
          <w:insideH w:val="single" w:sz="6" w:space="0"/>
          <w:insideV w:val="single" w:sz="6" w:space="0"/>
        </w:tcBorders>
        <w:shd w:val="clear" w:color="auto" w:fill="96C9C9" w:themeFill="accent2" w:themeFillTint="7F"/>
      </w:tcPr>
    </w:tblStylePr>
    <w:tblStylePr w:type="nwCell">
      <w:tblPr/>
      <w:tcPr>
        <w:shd w:val="clear" w:color="auto" w:fill="FFFFFF" w:themeFill="background1"/>
      </w:tcPr>
    </w:tblStylePr>
  </w:style>
  <w:style w:type="table" w:styleId="214">
    <w:name w:val="Medium Grid 2 Accent 3"/>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1E9FD7" w:themeColor="accent3" w:sz="8" w:space="0"/>
        <w:left w:val="single" w:color="1E9FD7" w:themeColor="accent3" w:sz="8" w:space="0"/>
        <w:bottom w:val="single" w:color="1E9FD7" w:themeColor="accent3" w:sz="8" w:space="0"/>
        <w:right w:val="single" w:color="1E9FD7" w:themeColor="accent3" w:sz="8" w:space="0"/>
        <w:insideH w:val="single" w:color="1E9FD7" w:themeColor="accent3" w:sz="8" w:space="0"/>
        <w:insideV w:val="single" w:color="1E9FD7" w:themeColor="accent3" w:sz="8" w:space="0"/>
      </w:tblBorders>
    </w:tblPr>
    <w:tcPr>
      <w:shd w:val="clear" w:color="auto" w:fill="C5E8F6" w:themeFill="accent3" w:themeFillTint="3F"/>
    </w:tcPr>
    <w:tblStylePr w:type="firstRow">
      <w:rPr>
        <w:b/>
        <w:bCs/>
        <w:color w:val="152C46" w:themeColor="text1"/>
        <w14:textFill>
          <w14:solidFill>
            <w14:schemeClr w14:val="tx1"/>
          </w14:solidFill>
        </w14:textFill>
      </w:rPr>
      <w:tblPr/>
      <w:tcPr>
        <w:shd w:val="clear" w:color="auto" w:fill="E8F5FB" w:themeFill="accent3"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D0ECF8" w:themeFill="accent3" w:themeFillTint="33"/>
      </w:tcPr>
    </w:tblStylePr>
    <w:tblStylePr w:type="band1Vert">
      <w:tblPr/>
      <w:tcPr>
        <w:shd w:val="clear" w:color="auto" w:fill="8BD0EE" w:themeFill="accent3" w:themeFillTint="7F"/>
      </w:tcPr>
    </w:tblStylePr>
    <w:tblStylePr w:type="band1Horz">
      <w:tblPr/>
      <w:tcPr>
        <w:tcBorders>
          <w:insideH w:val="single" w:sz="6" w:space="0"/>
          <w:insideV w:val="single" w:sz="6" w:space="0"/>
        </w:tcBorders>
        <w:shd w:val="clear" w:color="auto" w:fill="8BD0EE" w:themeFill="accent3" w:themeFillTint="7F"/>
      </w:tcPr>
    </w:tblStylePr>
    <w:tblStylePr w:type="nwCell">
      <w:tblPr/>
      <w:tcPr>
        <w:shd w:val="clear" w:color="auto" w:fill="FFFFFF" w:themeFill="background1"/>
      </w:tcPr>
    </w:tblStylePr>
  </w:style>
  <w:style w:type="table" w:styleId="215">
    <w:name w:val="Medium Grid 2 Accent 4"/>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808DDE" w:themeColor="accent4" w:sz="8" w:space="0"/>
        <w:left w:val="single" w:color="808DDE" w:themeColor="accent4" w:sz="8" w:space="0"/>
        <w:bottom w:val="single" w:color="808DDE" w:themeColor="accent4" w:sz="8" w:space="0"/>
        <w:right w:val="single" w:color="808DDE" w:themeColor="accent4" w:sz="8" w:space="0"/>
        <w:insideH w:val="single" w:color="808DDE" w:themeColor="accent4" w:sz="8" w:space="0"/>
        <w:insideV w:val="single" w:color="808DDE" w:themeColor="accent4" w:sz="8" w:space="0"/>
      </w:tblBorders>
    </w:tblPr>
    <w:tcPr>
      <w:shd w:val="clear" w:color="auto" w:fill="DFE2F6" w:themeFill="accent4" w:themeFillTint="3F"/>
    </w:tcPr>
    <w:tblStylePr w:type="firstRow">
      <w:rPr>
        <w:b/>
        <w:bCs/>
        <w:color w:val="152C46" w:themeColor="text1"/>
        <w14:textFill>
          <w14:solidFill>
            <w14:schemeClr w14:val="tx1"/>
          </w14:solidFill>
        </w14:textFill>
      </w:rPr>
      <w:tblPr/>
      <w:tcPr>
        <w:shd w:val="clear" w:color="auto" w:fill="F2F3FB" w:themeFill="accent4"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E5E8F8" w:themeFill="accent4" w:themeFillTint="33"/>
      </w:tcPr>
    </w:tblStylePr>
    <w:tblStylePr w:type="band1Vert">
      <w:tblPr/>
      <w:tcPr>
        <w:shd w:val="clear" w:color="auto" w:fill="BFC6EE" w:themeFill="accent4" w:themeFillTint="7F"/>
      </w:tcPr>
    </w:tblStylePr>
    <w:tblStylePr w:type="band1Horz">
      <w:tblPr/>
      <w:tcPr>
        <w:tcBorders>
          <w:insideH w:val="single" w:sz="6" w:space="0"/>
          <w:insideV w:val="single" w:sz="6" w:space="0"/>
        </w:tcBorders>
        <w:shd w:val="clear" w:color="auto" w:fill="BFC6EE" w:themeFill="accent4" w:themeFillTint="7F"/>
      </w:tcPr>
    </w:tblStylePr>
    <w:tblStylePr w:type="nwCell">
      <w:tblPr/>
      <w:tcPr>
        <w:shd w:val="clear" w:color="auto" w:fill="FFFFFF" w:themeFill="background1"/>
      </w:tcPr>
    </w:tblStylePr>
  </w:style>
  <w:style w:type="table" w:styleId="216">
    <w:name w:val="Medium Grid 2 Accent 5"/>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ED4D66" w:themeColor="accent5" w:sz="8" w:space="0"/>
        <w:left w:val="single" w:color="ED4D66" w:themeColor="accent5" w:sz="8" w:space="0"/>
        <w:bottom w:val="single" w:color="ED4D66" w:themeColor="accent5" w:sz="8" w:space="0"/>
        <w:right w:val="single" w:color="ED4D66" w:themeColor="accent5" w:sz="8" w:space="0"/>
        <w:insideH w:val="single" w:color="ED4D66" w:themeColor="accent5" w:sz="8" w:space="0"/>
        <w:insideV w:val="single" w:color="ED4D66" w:themeColor="accent5" w:sz="8" w:space="0"/>
      </w:tblBorders>
    </w:tblPr>
    <w:tcPr>
      <w:shd w:val="clear" w:color="auto" w:fill="FAD3D9" w:themeFill="accent5" w:themeFillTint="3F"/>
    </w:tcPr>
    <w:tblStylePr w:type="firstRow">
      <w:rPr>
        <w:b/>
        <w:bCs/>
        <w:color w:val="152C46" w:themeColor="text1"/>
        <w14:textFill>
          <w14:solidFill>
            <w14:schemeClr w14:val="tx1"/>
          </w14:solidFill>
        </w14:textFill>
      </w:rPr>
      <w:tblPr/>
      <w:tcPr>
        <w:shd w:val="clear" w:color="auto" w:fill="FDEDEF" w:themeFill="accent5"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FBDBE0" w:themeFill="accent5" w:themeFillTint="33"/>
      </w:tcPr>
    </w:tblStylePr>
    <w:tblStylePr w:type="band1Vert">
      <w:tblPr/>
      <w:tcPr>
        <w:shd w:val="clear" w:color="auto" w:fill="F6A6B2" w:themeFill="accent5" w:themeFillTint="7F"/>
      </w:tcPr>
    </w:tblStylePr>
    <w:tblStylePr w:type="band1Horz">
      <w:tblPr/>
      <w:tcPr>
        <w:tcBorders>
          <w:insideH w:val="single" w:sz="6" w:space="0"/>
          <w:insideV w:val="single" w:sz="6" w:space="0"/>
        </w:tcBorders>
        <w:shd w:val="clear" w:color="auto" w:fill="F6A6B2" w:themeFill="accent5" w:themeFillTint="7F"/>
      </w:tcPr>
    </w:tblStylePr>
    <w:tblStylePr w:type="nwCell">
      <w:tblPr/>
      <w:tcPr>
        <w:shd w:val="clear" w:color="auto" w:fill="FFFFFF" w:themeFill="background1"/>
      </w:tcPr>
    </w:tblStylePr>
  </w:style>
  <w:style w:type="table" w:styleId="217">
    <w:name w:val="Medium Grid 2 Accent 6"/>
    <w:basedOn w:val="16"/>
    <w:uiPriority w:val="68"/>
    <w:pPr>
      <w:spacing w:after="0" w:line="240" w:lineRule="auto"/>
    </w:pPr>
    <w:rPr>
      <w:rFonts w:asciiTheme="majorHAnsi" w:hAnsiTheme="majorHAnsi" w:eastAsiaTheme="majorEastAsia" w:cstheme="majorBidi"/>
      <w:color w:val="152C46" w:themeColor="text1"/>
      <w14:textFill>
        <w14:solidFill>
          <w14:schemeClr w14:val="tx1"/>
        </w14:solidFill>
      </w14:textFill>
    </w:rPr>
    <w:tblPr>
      <w:tblBorders>
        <w:top w:val="single" w:color="EEBC58" w:themeColor="accent6" w:sz="8" w:space="0"/>
        <w:left w:val="single" w:color="EEBC58" w:themeColor="accent6" w:sz="8" w:space="0"/>
        <w:bottom w:val="single" w:color="EEBC58" w:themeColor="accent6" w:sz="8" w:space="0"/>
        <w:right w:val="single" w:color="EEBC58" w:themeColor="accent6" w:sz="8" w:space="0"/>
        <w:insideH w:val="single" w:color="EEBC58" w:themeColor="accent6" w:sz="8" w:space="0"/>
        <w:insideV w:val="single" w:color="EEBC58" w:themeColor="accent6" w:sz="8" w:space="0"/>
      </w:tblBorders>
    </w:tblPr>
    <w:tcPr>
      <w:shd w:val="clear" w:color="auto" w:fill="FAEED5" w:themeFill="accent6" w:themeFillTint="3F"/>
    </w:tcPr>
    <w:tblStylePr w:type="firstRow">
      <w:rPr>
        <w:b/>
        <w:bCs/>
        <w:color w:val="152C46" w:themeColor="text1"/>
        <w14:textFill>
          <w14:solidFill>
            <w14:schemeClr w14:val="tx1"/>
          </w14:solidFill>
        </w14:textFill>
      </w:rPr>
      <w:tblPr/>
      <w:tcPr>
        <w:shd w:val="clear" w:color="auto" w:fill="FDF8EE" w:themeFill="accent6" w:themeFillTint="19"/>
      </w:tcPr>
    </w:tblStylePr>
    <w:tblStylePr w:type="lastRow">
      <w:rPr>
        <w:b/>
        <w:bCs/>
        <w:color w:val="152C46" w:themeColor="text1"/>
        <w14:textFill>
          <w14:solidFill>
            <w14:schemeClr w14:val="tx1"/>
          </w14:solidFill>
        </w14:textFill>
      </w:rPr>
      <w:tblPr/>
      <w:tcPr>
        <w:tcBorders>
          <w:top w:val="single" w:color="152C46" w:themeColor="text1" w:sz="12" w:space="0"/>
          <w:left w:val="nil"/>
          <w:bottom w:val="nil"/>
          <w:right w:val="nil"/>
          <w:insideH w:val="nil"/>
          <w:insideV w:val="nil"/>
        </w:tcBorders>
        <w:shd w:val="clear" w:color="auto" w:fill="FFFFFF" w:themeFill="background1"/>
      </w:tcPr>
    </w:tblStylePr>
    <w:tblStylePr w:type="firstCol">
      <w:rPr>
        <w:b/>
        <w:bCs/>
        <w:color w:val="152C46"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152C46" w:themeColor="text1"/>
        <w14:textFill>
          <w14:solidFill>
            <w14:schemeClr w14:val="tx1"/>
          </w14:solidFill>
        </w14:textFill>
      </w:rPr>
      <w:tblPr/>
      <w:tcPr>
        <w:tcBorders>
          <w:top w:val="nil"/>
          <w:left w:val="nil"/>
          <w:bottom w:val="nil"/>
          <w:right w:val="nil"/>
          <w:insideH w:val="nil"/>
          <w:insideV w:val="nil"/>
        </w:tcBorders>
        <w:shd w:val="clear" w:color="auto" w:fill="FBF1DD" w:themeFill="accent6" w:themeFillTint="33"/>
      </w:tcPr>
    </w:tblStylePr>
    <w:tblStylePr w:type="band1Vert">
      <w:tblPr/>
      <w:tcPr>
        <w:shd w:val="clear" w:color="auto" w:fill="F6DDAB" w:themeFill="accent6" w:themeFillTint="7F"/>
      </w:tcPr>
    </w:tblStylePr>
    <w:tblStylePr w:type="band1Horz">
      <w:tblPr/>
      <w:tcPr>
        <w:tcBorders>
          <w:insideH w:val="single" w:sz="6" w:space="0"/>
          <w:insideV w:val="single" w:sz="6" w:space="0"/>
        </w:tcBorders>
        <w:shd w:val="clear" w:color="auto" w:fill="F6DDAB" w:themeFill="accent6" w:themeFillTint="7F"/>
      </w:tcPr>
    </w:tblStylePr>
    <w:tblStylePr w:type="nwCell">
      <w:tblPr/>
      <w:tcPr>
        <w:shd w:val="clear" w:color="auto" w:fill="FFFFFF" w:themeFill="background1"/>
      </w:tcPr>
    </w:tblStylePr>
  </w:style>
  <w:style w:type="table" w:styleId="218">
    <w:name w:val="Medium Grid 3"/>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FC9E7"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52C46"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52C46"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52C46"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52C46"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E93CE"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5E93CE" w:themeFill="text1" w:themeFillTint="7F"/>
      </w:tcPr>
    </w:tblStylePr>
  </w:style>
  <w:style w:type="table" w:styleId="219">
    <w:name w:val="Medium Grid 3 Accent 1"/>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8FFEA"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E09E"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E09E"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E09E"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E09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0FED5"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0FED5" w:themeFill="accent1" w:themeFillTint="7F"/>
      </w:tcPr>
    </w:tblStylePr>
  </w:style>
  <w:style w:type="table" w:styleId="220">
    <w:name w:val="Medium Grid 3 Accent 2"/>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BE4E4"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1807F"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1807F"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1807F"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1807F"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6C9C9"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96C9C9" w:themeFill="accent2" w:themeFillTint="7F"/>
      </w:tcPr>
    </w:tblStylePr>
  </w:style>
  <w:style w:type="table" w:styleId="221">
    <w:name w:val="Medium Grid 3 Accent 3"/>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5E8F6"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E9FD7"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E9FD7"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E9FD7"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E9FD7"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BD0EE"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8BD0EE" w:themeFill="accent3" w:themeFillTint="7F"/>
      </w:tcPr>
    </w:tblStylePr>
  </w:style>
  <w:style w:type="table" w:styleId="222">
    <w:name w:val="Medium Grid 3 Accent 4"/>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E2F6"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8DDE"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8DDE"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8DDE"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8DDE"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C6EE"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C6EE" w:themeFill="accent4" w:themeFillTint="7F"/>
      </w:tcPr>
    </w:tblStylePr>
  </w:style>
  <w:style w:type="table" w:styleId="223">
    <w:name w:val="Medium Grid 3 Accent 5"/>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D3D9"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4D6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4D6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4D6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4D6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A6B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A6B2" w:themeFill="accent5" w:themeFillTint="7F"/>
      </w:tcPr>
    </w:tblStylePr>
  </w:style>
  <w:style w:type="table" w:styleId="224">
    <w:name w:val="Medium Grid 3 Accent 6"/>
    <w:basedOn w:val="16"/>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AEED5"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EBC58"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EBC58"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EBC58"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EBC58"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DDAB"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DDAB" w:themeFill="accent6" w:themeFillTint="7F"/>
      </w:tcPr>
    </w:tblStylePr>
  </w:style>
  <w:style w:type="table" w:styleId="225">
    <w:name w:val="Dark List"/>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152C46" w:themeFill="text1"/>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0A1522"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F2034"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F2034" w:themeFill="text1" w:themeFillShade="BF"/>
      </w:tcPr>
    </w:tblStylePr>
    <w:tblStylePr w:type="band1Vert">
      <w:tblPr/>
      <w:tcPr>
        <w:tcBorders>
          <w:top w:val="nil"/>
          <w:left w:val="nil"/>
          <w:bottom w:val="nil"/>
          <w:right w:val="nil"/>
          <w:insideH w:val="nil"/>
          <w:insideV w:val="nil"/>
        </w:tcBorders>
        <w:shd w:val="clear" w:color="auto" w:fill="0F2034" w:themeFill="text1" w:themeFillShade="BF"/>
      </w:tcPr>
    </w:tblStylePr>
    <w:tblStylePr w:type="band1Horz">
      <w:tblPr/>
      <w:tcPr>
        <w:tcBorders>
          <w:top w:val="nil"/>
          <w:left w:val="nil"/>
          <w:bottom w:val="nil"/>
          <w:right w:val="nil"/>
          <w:insideH w:val="nil"/>
          <w:insideV w:val="nil"/>
        </w:tcBorders>
        <w:shd w:val="clear" w:color="auto" w:fill="0F2034" w:themeFill="text1" w:themeFillShade="BF"/>
      </w:tcPr>
    </w:tblStylePr>
  </w:style>
  <w:style w:type="table" w:styleId="226">
    <w:name w:val="Dark List Accent 1"/>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E09E"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006F4E"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A77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A776" w:themeFill="accent1" w:themeFillShade="BF"/>
      </w:tcPr>
    </w:tblStylePr>
    <w:tblStylePr w:type="band1Vert">
      <w:tblPr/>
      <w:tcPr>
        <w:tcBorders>
          <w:top w:val="nil"/>
          <w:left w:val="nil"/>
          <w:bottom w:val="nil"/>
          <w:right w:val="nil"/>
          <w:insideH w:val="nil"/>
          <w:insideV w:val="nil"/>
        </w:tcBorders>
        <w:shd w:val="clear" w:color="auto" w:fill="00A776" w:themeFill="accent1" w:themeFillShade="BF"/>
      </w:tcPr>
    </w:tblStylePr>
    <w:tblStylePr w:type="band1Horz">
      <w:tblPr/>
      <w:tcPr>
        <w:tcBorders>
          <w:top w:val="nil"/>
          <w:left w:val="nil"/>
          <w:bottom w:val="nil"/>
          <w:right w:val="nil"/>
          <w:insideH w:val="nil"/>
          <w:insideV w:val="nil"/>
        </w:tcBorders>
        <w:shd w:val="clear" w:color="auto" w:fill="00A776" w:themeFill="accent1" w:themeFillShade="BF"/>
      </w:tcPr>
    </w:tblStylePr>
  </w:style>
  <w:style w:type="table" w:styleId="227">
    <w:name w:val="Dark List Accent 2"/>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1807F"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203F3F"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305F5F"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305F5F" w:themeFill="accent2" w:themeFillShade="BF"/>
      </w:tcPr>
    </w:tblStylePr>
    <w:tblStylePr w:type="band1Vert">
      <w:tblPr/>
      <w:tcPr>
        <w:tcBorders>
          <w:top w:val="nil"/>
          <w:left w:val="nil"/>
          <w:bottom w:val="nil"/>
          <w:right w:val="nil"/>
          <w:insideH w:val="nil"/>
          <w:insideV w:val="nil"/>
        </w:tcBorders>
        <w:shd w:val="clear" w:color="auto" w:fill="305F5F" w:themeFill="accent2" w:themeFillShade="BF"/>
      </w:tcPr>
    </w:tblStylePr>
    <w:tblStylePr w:type="band1Horz">
      <w:tblPr/>
      <w:tcPr>
        <w:tcBorders>
          <w:top w:val="nil"/>
          <w:left w:val="nil"/>
          <w:bottom w:val="nil"/>
          <w:right w:val="nil"/>
          <w:insideH w:val="nil"/>
          <w:insideV w:val="nil"/>
        </w:tcBorders>
        <w:shd w:val="clear" w:color="auto" w:fill="305F5F" w:themeFill="accent2" w:themeFillShade="BF"/>
      </w:tcPr>
    </w:tblStylePr>
  </w:style>
  <w:style w:type="table" w:styleId="228">
    <w:name w:val="Dark List Accent 3"/>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1E9FD7"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0E4F6B"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677A1"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677A1" w:themeFill="accent3" w:themeFillShade="BF"/>
      </w:tcPr>
    </w:tblStylePr>
    <w:tblStylePr w:type="band1Vert">
      <w:tblPr/>
      <w:tcPr>
        <w:tcBorders>
          <w:top w:val="nil"/>
          <w:left w:val="nil"/>
          <w:bottom w:val="nil"/>
          <w:right w:val="nil"/>
          <w:insideH w:val="nil"/>
          <w:insideV w:val="nil"/>
        </w:tcBorders>
        <w:shd w:val="clear" w:color="auto" w:fill="1677A1" w:themeFill="accent3" w:themeFillShade="BF"/>
      </w:tcPr>
    </w:tblStylePr>
    <w:tblStylePr w:type="band1Horz">
      <w:tblPr/>
      <w:tcPr>
        <w:tcBorders>
          <w:top w:val="nil"/>
          <w:left w:val="nil"/>
          <w:bottom w:val="nil"/>
          <w:right w:val="nil"/>
          <w:insideH w:val="nil"/>
          <w:insideV w:val="nil"/>
        </w:tcBorders>
        <w:shd w:val="clear" w:color="auto" w:fill="1677A1" w:themeFill="accent3" w:themeFillShade="BF"/>
      </w:tcPr>
    </w:tblStylePr>
  </w:style>
  <w:style w:type="table" w:styleId="229">
    <w:name w:val="Dark List Accent 4"/>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8DDE"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23328A"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3A4ECB"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3A4ECB" w:themeFill="accent4" w:themeFillShade="BF"/>
      </w:tcPr>
    </w:tblStylePr>
    <w:tblStylePr w:type="band1Vert">
      <w:tblPr/>
      <w:tcPr>
        <w:tcBorders>
          <w:top w:val="nil"/>
          <w:left w:val="nil"/>
          <w:bottom w:val="nil"/>
          <w:right w:val="nil"/>
          <w:insideH w:val="nil"/>
          <w:insideV w:val="nil"/>
        </w:tcBorders>
        <w:shd w:val="clear" w:color="auto" w:fill="3A4ECB" w:themeFill="accent4" w:themeFillShade="BF"/>
      </w:tcPr>
    </w:tblStylePr>
    <w:tblStylePr w:type="band1Horz">
      <w:tblPr/>
      <w:tcPr>
        <w:tcBorders>
          <w:top w:val="nil"/>
          <w:left w:val="nil"/>
          <w:bottom w:val="nil"/>
          <w:right w:val="nil"/>
          <w:insideH w:val="nil"/>
          <w:insideV w:val="nil"/>
        </w:tcBorders>
        <w:shd w:val="clear" w:color="auto" w:fill="3A4ECB" w:themeFill="accent4" w:themeFillShade="BF"/>
      </w:tcPr>
    </w:tblStylePr>
  </w:style>
  <w:style w:type="table" w:styleId="230">
    <w:name w:val="Dark List Accent 5"/>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ED4D6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8E0E22"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D51533"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D51533" w:themeFill="accent5" w:themeFillShade="BF"/>
      </w:tcPr>
    </w:tblStylePr>
    <w:tblStylePr w:type="band1Vert">
      <w:tblPr/>
      <w:tcPr>
        <w:tcBorders>
          <w:top w:val="nil"/>
          <w:left w:val="nil"/>
          <w:bottom w:val="nil"/>
          <w:right w:val="nil"/>
          <w:insideH w:val="nil"/>
          <w:insideV w:val="nil"/>
        </w:tcBorders>
        <w:shd w:val="clear" w:color="auto" w:fill="D51533" w:themeFill="accent5" w:themeFillShade="BF"/>
      </w:tcPr>
    </w:tblStylePr>
    <w:tblStylePr w:type="band1Horz">
      <w:tblPr/>
      <w:tcPr>
        <w:tcBorders>
          <w:top w:val="nil"/>
          <w:left w:val="nil"/>
          <w:bottom w:val="nil"/>
          <w:right w:val="nil"/>
          <w:insideH w:val="nil"/>
          <w:insideV w:val="nil"/>
        </w:tcBorders>
        <w:shd w:val="clear" w:color="auto" w:fill="D51533" w:themeFill="accent5" w:themeFillShade="BF"/>
      </w:tcPr>
    </w:tblStylePr>
  </w:style>
  <w:style w:type="table" w:styleId="231">
    <w:name w:val="Dark List Accent 6"/>
    <w:basedOn w:val="16"/>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EEBC58"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152C46" w:themeFill="text1"/>
      </w:tcPr>
    </w:tblStylePr>
    <w:tblStylePr w:type="lastRow">
      <w:tblPr/>
      <w:tcPr>
        <w:tcBorders>
          <w:top w:val="single" w:color="FFFFFF" w:themeColor="background1" w:sz="18" w:space="0"/>
          <w:left w:val="nil"/>
          <w:bottom w:val="nil"/>
          <w:right w:val="nil"/>
          <w:insideH w:val="nil"/>
          <w:insideV w:val="nil"/>
        </w:tcBorders>
        <w:shd w:val="clear" w:color="auto" w:fill="93670E"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DD9B1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DD9B16" w:themeFill="accent6" w:themeFillShade="BF"/>
      </w:tcPr>
    </w:tblStylePr>
    <w:tblStylePr w:type="band1Vert">
      <w:tblPr/>
      <w:tcPr>
        <w:tcBorders>
          <w:top w:val="nil"/>
          <w:left w:val="nil"/>
          <w:bottom w:val="nil"/>
          <w:right w:val="nil"/>
          <w:insideH w:val="nil"/>
          <w:insideV w:val="nil"/>
        </w:tcBorders>
        <w:shd w:val="clear" w:color="auto" w:fill="DD9B16" w:themeFill="accent6" w:themeFillShade="BF"/>
      </w:tcPr>
    </w:tblStylePr>
    <w:tblStylePr w:type="band1Horz">
      <w:tblPr/>
      <w:tcPr>
        <w:tcBorders>
          <w:top w:val="nil"/>
          <w:left w:val="nil"/>
          <w:bottom w:val="nil"/>
          <w:right w:val="nil"/>
          <w:insideH w:val="nil"/>
          <w:insideV w:val="nil"/>
        </w:tcBorders>
        <w:shd w:val="clear" w:color="auto" w:fill="DD9B16" w:themeFill="accent6" w:themeFillShade="BF"/>
      </w:tcPr>
    </w:tblStylePr>
  </w:style>
  <w:style w:type="table" w:styleId="232">
    <w:name w:val="Colorful Shading"/>
    <w:basedOn w:val="16"/>
    <w:uiPriority w:val="71"/>
    <w:pPr>
      <w:spacing w:after="0" w:line="240" w:lineRule="auto"/>
    </w:pPr>
    <w:rPr>
      <w:color w:val="152C46" w:themeColor="text1"/>
      <w14:textFill>
        <w14:solidFill>
          <w14:schemeClr w14:val="tx1"/>
        </w14:solidFill>
      </w14:textFill>
    </w:rPr>
    <w:tblPr>
      <w:tblBorders>
        <w:top w:val="single" w:color="41807F" w:themeColor="accent2" w:sz="24" w:space="0"/>
        <w:left w:val="single" w:color="152C46" w:themeColor="text1" w:sz="4" w:space="0"/>
        <w:bottom w:val="single" w:color="152C46" w:themeColor="text1" w:sz="4" w:space="0"/>
        <w:right w:val="single" w:color="152C46" w:themeColor="text1" w:sz="4" w:space="0"/>
        <w:insideH w:val="single" w:color="FFFFFF" w:themeColor="background1" w:sz="4" w:space="0"/>
        <w:insideV w:val="single" w:color="FFFFFF" w:themeColor="background1" w:sz="4" w:space="0"/>
      </w:tblBorders>
    </w:tblPr>
    <w:tcPr>
      <w:shd w:val="clear" w:color="auto" w:fill="DFE9F5" w:themeFill="text1" w:themeFillTint="19"/>
    </w:tcPr>
    <w:tblStylePr w:type="firstRow">
      <w:rPr>
        <w:b/>
        <w:bCs/>
      </w:rPr>
      <w:tblPr/>
      <w:tcPr>
        <w:tcBorders>
          <w:top w:val="nil"/>
          <w:left w:val="nil"/>
          <w:bottom w:val="single" w:color="41807F"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C1A29"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C1A29"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F2034" w:themeFill="text1" w:themeFillShade="BF"/>
      </w:tcPr>
    </w:tblStylePr>
    <w:tblStylePr w:type="band1Vert">
      <w:tblPr/>
      <w:tcPr>
        <w:shd w:val="clear" w:color="auto" w:fill="7EA8D8" w:themeFill="text1" w:themeFillTint="66"/>
      </w:tcPr>
    </w:tblStylePr>
    <w:tblStylePr w:type="band1Horz">
      <w:tblPr/>
      <w:tcPr>
        <w:shd w:val="clear" w:color="auto" w:fill="5E93CE" w:themeFill="text1" w:themeFillTint="7F"/>
      </w:tcPr>
    </w:tblStylePr>
    <w:tblStylePr w:type="neCell">
      <w:rPr>
        <w:color w:val="152C46" w:themeColor="text1"/>
        <w14:textFill>
          <w14:solidFill>
            <w14:schemeClr w14:val="tx1"/>
          </w14:solidFill>
        </w14:textFill>
      </w:rPr>
    </w:tblStylePr>
    <w:tblStylePr w:type="nwCell">
      <w:rPr>
        <w:color w:val="152C46" w:themeColor="text1"/>
        <w14:textFill>
          <w14:solidFill>
            <w14:schemeClr w14:val="tx1"/>
          </w14:solidFill>
        </w14:textFill>
      </w:rPr>
    </w:tblStylePr>
  </w:style>
  <w:style w:type="table" w:styleId="233">
    <w:name w:val="Colorful Shading Accent 1"/>
    <w:basedOn w:val="16"/>
    <w:uiPriority w:val="71"/>
    <w:pPr>
      <w:spacing w:after="0" w:line="240" w:lineRule="auto"/>
    </w:pPr>
    <w:rPr>
      <w:color w:val="152C46" w:themeColor="text1"/>
      <w14:textFill>
        <w14:solidFill>
          <w14:schemeClr w14:val="tx1"/>
        </w14:solidFill>
      </w14:textFill>
    </w:rPr>
    <w:tblPr>
      <w:tblBorders>
        <w:top w:val="single" w:color="41807F" w:themeColor="accent2" w:sz="24" w:space="0"/>
        <w:left w:val="single" w:color="00E09E" w:themeColor="accent1" w:sz="4" w:space="0"/>
        <w:bottom w:val="single" w:color="00E09E" w:themeColor="accent1" w:sz="4" w:space="0"/>
        <w:right w:val="single" w:color="00E09E" w:themeColor="accent1" w:sz="4" w:space="0"/>
        <w:insideH w:val="single" w:color="FFFFFF" w:themeColor="background1" w:sz="4" w:space="0"/>
        <w:insideV w:val="single" w:color="FFFFFF" w:themeColor="background1" w:sz="4" w:space="0"/>
      </w:tblBorders>
    </w:tblPr>
    <w:tcPr>
      <w:shd w:val="clear" w:color="auto" w:fill="E2FFF6" w:themeFill="accent1" w:themeFillTint="19"/>
    </w:tcPr>
    <w:tblStylePr w:type="firstRow">
      <w:rPr>
        <w:b/>
        <w:bCs/>
      </w:rPr>
      <w:tblPr/>
      <w:tcPr>
        <w:tcBorders>
          <w:top w:val="nil"/>
          <w:left w:val="nil"/>
          <w:bottom w:val="single" w:color="41807F"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865E"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865E"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865E" w:themeFill="accent1" w:themeFillShade="99"/>
      </w:tcPr>
    </w:tblStylePr>
    <w:tblStylePr w:type="band1Vert">
      <w:tblPr/>
      <w:tcPr>
        <w:shd w:val="clear" w:color="auto" w:fill="8CFFDD" w:themeFill="accent1" w:themeFillTint="66"/>
      </w:tcPr>
    </w:tblStylePr>
    <w:tblStylePr w:type="band1Horz">
      <w:tblPr/>
      <w:tcPr>
        <w:shd w:val="clear" w:color="auto" w:fill="70FED5" w:themeFill="accent1" w:themeFillTint="7F"/>
      </w:tcPr>
    </w:tblStylePr>
    <w:tblStylePr w:type="neCell">
      <w:rPr>
        <w:color w:val="152C46" w:themeColor="text1"/>
        <w14:textFill>
          <w14:solidFill>
            <w14:schemeClr w14:val="tx1"/>
          </w14:solidFill>
        </w14:textFill>
      </w:rPr>
    </w:tblStylePr>
    <w:tblStylePr w:type="nwCell">
      <w:rPr>
        <w:color w:val="152C46" w:themeColor="text1"/>
        <w14:textFill>
          <w14:solidFill>
            <w14:schemeClr w14:val="tx1"/>
          </w14:solidFill>
        </w14:textFill>
      </w:rPr>
    </w:tblStylePr>
  </w:style>
  <w:style w:type="table" w:styleId="234">
    <w:name w:val="Colorful Shading Accent 2"/>
    <w:basedOn w:val="16"/>
    <w:uiPriority w:val="71"/>
    <w:pPr>
      <w:spacing w:after="0" w:line="240" w:lineRule="auto"/>
    </w:pPr>
    <w:rPr>
      <w:color w:val="152C46" w:themeColor="text1"/>
      <w14:textFill>
        <w14:solidFill>
          <w14:schemeClr w14:val="tx1"/>
        </w14:solidFill>
      </w14:textFill>
    </w:rPr>
    <w:tblPr>
      <w:tblBorders>
        <w:top w:val="single" w:color="41807F" w:themeColor="accent2" w:sz="24" w:space="0"/>
        <w:left w:val="single" w:color="41807F" w:themeColor="accent2" w:sz="4" w:space="0"/>
        <w:bottom w:val="single" w:color="41807F" w:themeColor="accent2" w:sz="4" w:space="0"/>
        <w:right w:val="single" w:color="41807F" w:themeColor="accent2" w:sz="4" w:space="0"/>
        <w:insideH w:val="single" w:color="FFFFFF" w:themeColor="background1" w:sz="4" w:space="0"/>
        <w:insideV w:val="single" w:color="FFFFFF" w:themeColor="background1" w:sz="4" w:space="0"/>
      </w:tblBorders>
    </w:tblPr>
    <w:tcPr>
      <w:shd w:val="clear" w:color="auto" w:fill="EAF4F4" w:themeFill="accent2" w:themeFillTint="19"/>
    </w:tcPr>
    <w:tblStylePr w:type="firstRow">
      <w:rPr>
        <w:b/>
        <w:bCs/>
      </w:rPr>
      <w:tblPr/>
      <w:tcPr>
        <w:tcBorders>
          <w:top w:val="nil"/>
          <w:left w:val="nil"/>
          <w:bottom w:val="single" w:color="41807F"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64C4C"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64C4C"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64C4C" w:themeFill="accent2" w:themeFillShade="99"/>
      </w:tcPr>
    </w:tblStylePr>
    <w:tblStylePr w:type="band1Vert">
      <w:tblPr/>
      <w:tcPr>
        <w:shd w:val="clear" w:color="auto" w:fill="AAD4D3" w:themeFill="accent2" w:themeFillTint="66"/>
      </w:tcPr>
    </w:tblStylePr>
    <w:tblStylePr w:type="band1Horz">
      <w:tblPr/>
      <w:tcPr>
        <w:shd w:val="clear" w:color="auto" w:fill="96C9C9" w:themeFill="accent2" w:themeFillTint="7F"/>
      </w:tcPr>
    </w:tblStylePr>
    <w:tblStylePr w:type="neCell">
      <w:rPr>
        <w:color w:val="152C46" w:themeColor="text1"/>
        <w14:textFill>
          <w14:solidFill>
            <w14:schemeClr w14:val="tx1"/>
          </w14:solidFill>
        </w14:textFill>
      </w:rPr>
    </w:tblStylePr>
    <w:tblStylePr w:type="nwCell">
      <w:rPr>
        <w:color w:val="152C46" w:themeColor="text1"/>
        <w14:textFill>
          <w14:solidFill>
            <w14:schemeClr w14:val="tx1"/>
          </w14:solidFill>
        </w14:textFill>
      </w:rPr>
    </w:tblStylePr>
  </w:style>
  <w:style w:type="table" w:styleId="235">
    <w:name w:val="Colorful Shading Accent 3"/>
    <w:basedOn w:val="16"/>
    <w:uiPriority w:val="71"/>
    <w:pPr>
      <w:spacing w:after="0" w:line="240" w:lineRule="auto"/>
    </w:pPr>
    <w:rPr>
      <w:color w:val="152C46" w:themeColor="text1"/>
      <w14:textFill>
        <w14:solidFill>
          <w14:schemeClr w14:val="tx1"/>
        </w14:solidFill>
      </w14:textFill>
    </w:rPr>
    <w:tblPr>
      <w:tblBorders>
        <w:top w:val="single" w:color="808DDE" w:themeColor="accent4" w:sz="24" w:space="0"/>
        <w:left w:val="single" w:color="1E9FD7" w:themeColor="accent3" w:sz="4" w:space="0"/>
        <w:bottom w:val="single" w:color="1E9FD7" w:themeColor="accent3" w:sz="4" w:space="0"/>
        <w:right w:val="single" w:color="1E9FD7" w:themeColor="accent3" w:sz="4" w:space="0"/>
        <w:insideH w:val="single" w:color="FFFFFF" w:themeColor="background1" w:sz="4" w:space="0"/>
        <w:insideV w:val="single" w:color="FFFFFF" w:themeColor="background1" w:sz="4" w:space="0"/>
      </w:tblBorders>
    </w:tblPr>
    <w:tcPr>
      <w:shd w:val="clear" w:color="auto" w:fill="E8F5FB" w:themeFill="accent3" w:themeFillTint="19"/>
    </w:tcPr>
    <w:tblStylePr w:type="firstRow">
      <w:rPr>
        <w:b/>
        <w:bCs/>
      </w:rPr>
      <w:tblPr/>
      <w:tcPr>
        <w:tcBorders>
          <w:top w:val="nil"/>
          <w:left w:val="nil"/>
          <w:bottom w:val="single" w:color="808DDE"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115F8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115F8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115F80" w:themeFill="accent3" w:themeFillShade="99"/>
      </w:tcPr>
    </w:tblStylePr>
    <w:tblStylePr w:type="band1Vert">
      <w:tblPr/>
      <w:tcPr>
        <w:shd w:val="clear" w:color="auto" w:fill="A1D9F2" w:themeFill="accent3" w:themeFillTint="66"/>
      </w:tcPr>
    </w:tblStylePr>
    <w:tblStylePr w:type="band1Horz">
      <w:tblPr/>
      <w:tcPr>
        <w:shd w:val="clear" w:color="auto" w:fill="8BD0EE" w:themeFill="accent3" w:themeFillTint="7F"/>
      </w:tcPr>
    </w:tblStylePr>
  </w:style>
  <w:style w:type="table" w:styleId="236">
    <w:name w:val="Colorful Shading Accent 4"/>
    <w:basedOn w:val="16"/>
    <w:uiPriority w:val="71"/>
    <w:pPr>
      <w:spacing w:after="0" w:line="240" w:lineRule="auto"/>
    </w:pPr>
    <w:rPr>
      <w:color w:val="152C46" w:themeColor="text1"/>
      <w14:textFill>
        <w14:solidFill>
          <w14:schemeClr w14:val="tx1"/>
        </w14:solidFill>
      </w14:textFill>
    </w:rPr>
    <w:tblPr>
      <w:tblBorders>
        <w:top w:val="single" w:color="1E9FD7" w:themeColor="accent3" w:sz="24" w:space="0"/>
        <w:left w:val="single" w:color="808DDE" w:themeColor="accent4" w:sz="4" w:space="0"/>
        <w:bottom w:val="single" w:color="808DDE" w:themeColor="accent4" w:sz="4" w:space="0"/>
        <w:right w:val="single" w:color="808DDE" w:themeColor="accent4" w:sz="4" w:space="0"/>
        <w:insideH w:val="single" w:color="FFFFFF" w:themeColor="background1" w:sz="4" w:space="0"/>
        <w:insideV w:val="single" w:color="FFFFFF" w:themeColor="background1" w:sz="4" w:space="0"/>
      </w:tblBorders>
    </w:tblPr>
    <w:tcPr>
      <w:shd w:val="clear" w:color="auto" w:fill="F2F3FB" w:themeFill="accent4" w:themeFillTint="19"/>
    </w:tcPr>
    <w:tblStylePr w:type="firstRow">
      <w:rPr>
        <w:b/>
        <w:bCs/>
      </w:rPr>
      <w:tblPr/>
      <w:tcPr>
        <w:tcBorders>
          <w:top w:val="nil"/>
          <w:left w:val="nil"/>
          <w:bottom w:val="single" w:color="1E9FD7"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3CA6"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3CA6"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3CA6" w:themeFill="accent4" w:themeFillShade="99"/>
      </w:tcPr>
    </w:tblStylePr>
    <w:tblStylePr w:type="band1Vert">
      <w:tblPr/>
      <w:tcPr>
        <w:shd w:val="clear" w:color="auto" w:fill="CCD1F1" w:themeFill="accent4" w:themeFillTint="66"/>
      </w:tcPr>
    </w:tblStylePr>
    <w:tblStylePr w:type="band1Horz">
      <w:tblPr/>
      <w:tcPr>
        <w:shd w:val="clear" w:color="auto" w:fill="BFC6EE" w:themeFill="accent4" w:themeFillTint="7F"/>
      </w:tcPr>
    </w:tblStylePr>
    <w:tblStylePr w:type="neCell">
      <w:rPr>
        <w:color w:val="152C46" w:themeColor="text1"/>
        <w14:textFill>
          <w14:solidFill>
            <w14:schemeClr w14:val="tx1"/>
          </w14:solidFill>
        </w14:textFill>
      </w:rPr>
    </w:tblStylePr>
    <w:tblStylePr w:type="nwCell">
      <w:rPr>
        <w:color w:val="152C46" w:themeColor="text1"/>
        <w14:textFill>
          <w14:solidFill>
            <w14:schemeClr w14:val="tx1"/>
          </w14:solidFill>
        </w14:textFill>
      </w:rPr>
    </w:tblStylePr>
  </w:style>
  <w:style w:type="table" w:styleId="237">
    <w:name w:val="Colorful Shading Accent 5"/>
    <w:basedOn w:val="16"/>
    <w:uiPriority w:val="71"/>
    <w:pPr>
      <w:spacing w:after="0" w:line="240" w:lineRule="auto"/>
    </w:pPr>
    <w:rPr>
      <w:color w:val="152C46" w:themeColor="text1"/>
      <w14:textFill>
        <w14:solidFill>
          <w14:schemeClr w14:val="tx1"/>
        </w14:solidFill>
      </w14:textFill>
    </w:rPr>
    <w:tblPr>
      <w:tblBorders>
        <w:top w:val="single" w:color="EEBC58" w:themeColor="accent6" w:sz="24" w:space="0"/>
        <w:left w:val="single" w:color="ED4D66" w:themeColor="accent5" w:sz="4" w:space="0"/>
        <w:bottom w:val="single" w:color="ED4D66" w:themeColor="accent5" w:sz="4" w:space="0"/>
        <w:right w:val="single" w:color="ED4D66" w:themeColor="accent5" w:sz="4" w:space="0"/>
        <w:insideH w:val="single" w:color="FFFFFF" w:themeColor="background1" w:sz="4" w:space="0"/>
        <w:insideV w:val="single" w:color="FFFFFF" w:themeColor="background1" w:sz="4" w:space="0"/>
      </w:tblBorders>
    </w:tblPr>
    <w:tcPr>
      <w:shd w:val="clear" w:color="auto" w:fill="FDEDEF" w:themeFill="accent5" w:themeFillTint="19"/>
    </w:tcPr>
    <w:tblStylePr w:type="firstRow">
      <w:rPr>
        <w:b/>
        <w:bCs/>
      </w:rPr>
      <w:tblPr/>
      <w:tcPr>
        <w:tcBorders>
          <w:top w:val="nil"/>
          <w:left w:val="nil"/>
          <w:bottom w:val="single" w:color="EEBC58"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AB1129"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AB1129"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AB1129" w:themeFill="accent5" w:themeFillShade="99"/>
      </w:tcPr>
    </w:tblStylePr>
    <w:tblStylePr w:type="band1Vert">
      <w:tblPr/>
      <w:tcPr>
        <w:shd w:val="clear" w:color="auto" w:fill="F7B7C1" w:themeFill="accent5" w:themeFillTint="66"/>
      </w:tcPr>
    </w:tblStylePr>
    <w:tblStylePr w:type="band1Horz">
      <w:tblPr/>
      <w:tcPr>
        <w:shd w:val="clear" w:color="auto" w:fill="F6A6B2" w:themeFill="accent5" w:themeFillTint="7F"/>
      </w:tcPr>
    </w:tblStylePr>
    <w:tblStylePr w:type="neCell">
      <w:rPr>
        <w:color w:val="152C46" w:themeColor="text1"/>
        <w14:textFill>
          <w14:solidFill>
            <w14:schemeClr w14:val="tx1"/>
          </w14:solidFill>
        </w14:textFill>
      </w:rPr>
    </w:tblStylePr>
    <w:tblStylePr w:type="nwCell">
      <w:rPr>
        <w:color w:val="152C46" w:themeColor="text1"/>
        <w14:textFill>
          <w14:solidFill>
            <w14:schemeClr w14:val="tx1"/>
          </w14:solidFill>
        </w14:textFill>
      </w:rPr>
    </w:tblStylePr>
  </w:style>
  <w:style w:type="table" w:styleId="238">
    <w:name w:val="Colorful Shading Accent 6"/>
    <w:basedOn w:val="16"/>
    <w:uiPriority w:val="71"/>
    <w:pPr>
      <w:spacing w:after="0" w:line="240" w:lineRule="auto"/>
    </w:pPr>
    <w:rPr>
      <w:color w:val="152C46" w:themeColor="text1"/>
      <w14:textFill>
        <w14:solidFill>
          <w14:schemeClr w14:val="tx1"/>
        </w14:solidFill>
      </w14:textFill>
    </w:rPr>
    <w:tblPr>
      <w:tblBorders>
        <w:top w:val="single" w:color="ED4D66" w:themeColor="accent5" w:sz="24" w:space="0"/>
        <w:left w:val="single" w:color="EEBC58" w:themeColor="accent6" w:sz="4" w:space="0"/>
        <w:bottom w:val="single" w:color="EEBC58" w:themeColor="accent6" w:sz="4" w:space="0"/>
        <w:right w:val="single" w:color="EEBC58" w:themeColor="accent6" w:sz="4" w:space="0"/>
        <w:insideH w:val="single" w:color="FFFFFF" w:themeColor="background1" w:sz="4" w:space="0"/>
        <w:insideV w:val="single" w:color="FFFFFF" w:themeColor="background1" w:sz="4" w:space="0"/>
      </w:tblBorders>
    </w:tblPr>
    <w:tcPr>
      <w:shd w:val="clear" w:color="auto" w:fill="FDF8EE" w:themeFill="accent6" w:themeFillTint="19"/>
    </w:tcPr>
    <w:tblStylePr w:type="firstRow">
      <w:rPr>
        <w:b/>
        <w:bCs/>
      </w:rPr>
      <w:tblPr/>
      <w:tcPr>
        <w:tcBorders>
          <w:top w:val="nil"/>
          <w:left w:val="nil"/>
          <w:bottom w:val="single" w:color="ED4D6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17C12"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17C12"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17C12" w:themeFill="accent6" w:themeFillShade="99"/>
      </w:tcPr>
    </w:tblStylePr>
    <w:tblStylePr w:type="band1Vert">
      <w:tblPr/>
      <w:tcPr>
        <w:shd w:val="clear" w:color="auto" w:fill="F8E4BC" w:themeFill="accent6" w:themeFillTint="66"/>
      </w:tcPr>
    </w:tblStylePr>
    <w:tblStylePr w:type="band1Horz">
      <w:tblPr/>
      <w:tcPr>
        <w:shd w:val="clear" w:color="auto" w:fill="F6DDAB" w:themeFill="accent6" w:themeFillTint="7F"/>
      </w:tcPr>
    </w:tblStylePr>
    <w:tblStylePr w:type="neCell">
      <w:rPr>
        <w:color w:val="152C46" w:themeColor="text1"/>
        <w14:textFill>
          <w14:solidFill>
            <w14:schemeClr w14:val="tx1"/>
          </w14:solidFill>
        </w14:textFill>
      </w:rPr>
    </w:tblStylePr>
    <w:tblStylePr w:type="nwCell">
      <w:rPr>
        <w:color w:val="152C46" w:themeColor="text1"/>
        <w14:textFill>
          <w14:solidFill>
            <w14:schemeClr w14:val="tx1"/>
          </w14:solidFill>
        </w14:textFill>
      </w:rPr>
    </w:tblStylePr>
  </w:style>
  <w:style w:type="table" w:styleId="239">
    <w:name w:val="Colorful List"/>
    <w:basedOn w:val="16"/>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DFE9F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36665" w:themeFill="accent2" w:themeFillShade="CC"/>
      </w:tcPr>
    </w:tblStylePr>
    <w:tblStylePr w:type="lastRow">
      <w:rPr>
        <w:b/>
        <w:bCs/>
        <w:color w:val="346666" w:themeColor="accent2"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C9E7" w:themeFill="text1" w:themeFillTint="3F"/>
      </w:tcPr>
    </w:tblStylePr>
    <w:tblStylePr w:type="band1Horz">
      <w:tblPr/>
      <w:tcPr>
        <w:shd w:val="clear" w:color="auto" w:fill="BED3EB" w:themeFill="text1" w:themeFillTint="33"/>
      </w:tcPr>
    </w:tblStylePr>
  </w:style>
  <w:style w:type="table" w:styleId="240">
    <w:name w:val="Colorful List Accent 1"/>
    <w:basedOn w:val="16"/>
    <w:qFormat/>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E2FFF6"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36665" w:themeFill="accent2" w:themeFillShade="CC"/>
      </w:tcPr>
    </w:tblStylePr>
    <w:tblStylePr w:type="lastRow">
      <w:rPr>
        <w:b/>
        <w:bCs/>
        <w:color w:val="346666" w:themeColor="accent2"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FEA" w:themeFill="accent1" w:themeFillTint="3F"/>
      </w:tcPr>
    </w:tblStylePr>
    <w:tblStylePr w:type="band1Horz">
      <w:tblPr/>
      <w:tcPr>
        <w:shd w:val="clear" w:color="auto" w:fill="C5FFEE" w:themeFill="accent1" w:themeFillTint="33"/>
      </w:tcPr>
    </w:tblStylePr>
  </w:style>
  <w:style w:type="table" w:styleId="241">
    <w:name w:val="Colorful List Accent 2"/>
    <w:basedOn w:val="16"/>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EAF4F4"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36665" w:themeFill="accent2" w:themeFillShade="CC"/>
      </w:tcPr>
    </w:tblStylePr>
    <w:tblStylePr w:type="lastRow">
      <w:rPr>
        <w:b/>
        <w:bCs/>
        <w:color w:val="346666" w:themeColor="accent2"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4E4" w:themeFill="accent2" w:themeFillTint="3F"/>
      </w:tcPr>
    </w:tblStylePr>
    <w:tblStylePr w:type="band1Horz">
      <w:tblPr/>
      <w:tcPr>
        <w:shd w:val="clear" w:color="auto" w:fill="D4E9E9" w:themeFill="accent2" w:themeFillTint="33"/>
      </w:tcPr>
    </w:tblStylePr>
  </w:style>
  <w:style w:type="table" w:styleId="242">
    <w:name w:val="Colorful List Accent 3"/>
    <w:basedOn w:val="16"/>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E8F5FB"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485BCF" w:themeFill="accent4" w:themeFillShade="CC"/>
      </w:tcPr>
    </w:tblStylePr>
    <w:tblStylePr w:type="lastRow">
      <w:rPr>
        <w:b/>
        <w:bCs/>
        <w:color w:val="485BD0" w:themeColor="accent4"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8F6" w:themeFill="accent3" w:themeFillTint="3F"/>
      </w:tcPr>
    </w:tblStylePr>
    <w:tblStylePr w:type="band1Horz">
      <w:tblPr/>
      <w:tcPr>
        <w:shd w:val="clear" w:color="auto" w:fill="D0ECF8" w:themeFill="accent3" w:themeFillTint="33"/>
      </w:tcPr>
    </w:tblStylePr>
  </w:style>
  <w:style w:type="table" w:styleId="243">
    <w:name w:val="Colorful List Accent 4"/>
    <w:basedOn w:val="16"/>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F2F3FB"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177FAB" w:themeFill="accent3" w:themeFillShade="CC"/>
      </w:tcPr>
    </w:tblStylePr>
    <w:tblStylePr w:type="lastRow">
      <w:rPr>
        <w:b/>
        <w:bCs/>
        <w:color w:val="187FAC" w:themeColor="accent3"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2F6" w:themeFill="accent4" w:themeFillTint="3F"/>
      </w:tcPr>
    </w:tblStylePr>
    <w:tblStylePr w:type="band1Horz">
      <w:tblPr/>
      <w:tcPr>
        <w:shd w:val="clear" w:color="auto" w:fill="E5E8F8" w:themeFill="accent4" w:themeFillTint="33"/>
      </w:tcPr>
    </w:tblStylePr>
  </w:style>
  <w:style w:type="table" w:styleId="244">
    <w:name w:val="Colorful List Accent 5"/>
    <w:basedOn w:val="16"/>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FDEDEF"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E7A41C" w:themeFill="accent6" w:themeFillShade="CC"/>
      </w:tcPr>
    </w:tblStylePr>
    <w:tblStylePr w:type="lastRow">
      <w:rPr>
        <w:b/>
        <w:bCs/>
        <w:color w:val="E8A41D" w:themeColor="accent6"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3D9" w:themeFill="accent5" w:themeFillTint="3F"/>
      </w:tcPr>
    </w:tblStylePr>
    <w:tblStylePr w:type="band1Horz">
      <w:tblPr/>
      <w:tcPr>
        <w:shd w:val="clear" w:color="auto" w:fill="FBDBE0" w:themeFill="accent5" w:themeFillTint="33"/>
      </w:tcPr>
    </w:tblStylePr>
  </w:style>
  <w:style w:type="table" w:styleId="245">
    <w:name w:val="Colorful List Accent 6"/>
    <w:basedOn w:val="16"/>
    <w:uiPriority w:val="72"/>
    <w:pPr>
      <w:spacing w:after="0" w:line="240" w:lineRule="auto"/>
    </w:pPr>
    <w:rPr>
      <w:color w:val="152C46" w:themeColor="text1"/>
      <w14:textFill>
        <w14:solidFill>
          <w14:schemeClr w14:val="tx1"/>
        </w14:solidFill>
      </w14:textFill>
    </w:rPr>
    <w:tblPr>
      <w:tblStyleRowBandSize w:val="1"/>
      <w:tblStyleColBandSize w:val="1"/>
    </w:tblPr>
    <w:tcPr>
      <w:shd w:val="clear" w:color="auto" w:fill="FDF8EE"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E41737" w:themeFill="accent5" w:themeFillShade="CC"/>
      </w:tcPr>
    </w:tblStylePr>
    <w:tblStylePr w:type="lastRow">
      <w:rPr>
        <w:b/>
        <w:bCs/>
        <w:color w:val="E41737" w:themeColor="accent5" w:themeShade="CC"/>
      </w:rPr>
      <w:tblPr/>
      <w:tcPr>
        <w:tcBorders>
          <w:top w:val="single" w:color="152C46"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ED5" w:themeFill="accent6" w:themeFillTint="3F"/>
      </w:tcPr>
    </w:tblStylePr>
    <w:tblStylePr w:type="band1Horz">
      <w:tblPr/>
      <w:tcPr>
        <w:shd w:val="clear" w:color="auto" w:fill="FBF1DD" w:themeFill="accent6" w:themeFillTint="33"/>
      </w:tcPr>
    </w:tblStylePr>
  </w:style>
  <w:style w:type="table" w:styleId="246">
    <w:name w:val="Colorful Grid"/>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BED3EB" w:themeFill="text1" w:themeFillTint="33"/>
    </w:tcPr>
    <w:tblStylePr w:type="firstRow">
      <w:rPr>
        <w:b/>
        <w:bCs/>
      </w:rPr>
      <w:tblPr/>
      <w:tcPr>
        <w:shd w:val="clear" w:color="auto" w:fill="7EA8D8" w:themeFill="text1" w:themeFillTint="66"/>
      </w:tcPr>
    </w:tblStylePr>
    <w:tblStylePr w:type="lastRow">
      <w:rPr>
        <w:b/>
        <w:bCs/>
        <w:color w:val="152C46" w:themeColor="text1"/>
        <w14:textFill>
          <w14:solidFill>
            <w14:schemeClr w14:val="tx1"/>
          </w14:solidFill>
        </w14:textFill>
      </w:rPr>
      <w:tblPr/>
      <w:tcPr>
        <w:shd w:val="clear" w:color="auto" w:fill="7EA8D8" w:themeFill="text1" w:themeFillTint="66"/>
      </w:tcPr>
    </w:tblStylePr>
    <w:tblStylePr w:type="firstCol">
      <w:rPr>
        <w:color w:val="FFFFFF" w:themeColor="background1"/>
        <w14:textFill>
          <w14:solidFill>
            <w14:schemeClr w14:val="bg1"/>
          </w14:solidFill>
        </w14:textFill>
      </w:rPr>
      <w:tblPr/>
      <w:tcPr>
        <w:shd w:val="clear" w:color="auto" w:fill="0F2034" w:themeFill="text1" w:themeFillShade="BF"/>
      </w:tcPr>
    </w:tblStylePr>
    <w:tblStylePr w:type="lastCol">
      <w:rPr>
        <w:color w:val="FFFFFF" w:themeColor="background1"/>
        <w14:textFill>
          <w14:solidFill>
            <w14:schemeClr w14:val="bg1"/>
          </w14:solidFill>
        </w14:textFill>
      </w:rPr>
      <w:tblPr/>
      <w:tcPr>
        <w:shd w:val="clear" w:color="auto" w:fill="0F2034" w:themeFill="text1" w:themeFillShade="BF"/>
      </w:tcPr>
    </w:tblStylePr>
    <w:tblStylePr w:type="band1Vert">
      <w:tblPr/>
      <w:tcPr>
        <w:shd w:val="clear" w:color="auto" w:fill="5E93CE" w:themeFill="text1" w:themeFillTint="7F"/>
      </w:tcPr>
    </w:tblStylePr>
    <w:tblStylePr w:type="band1Horz">
      <w:tblPr/>
      <w:tcPr>
        <w:shd w:val="clear" w:color="auto" w:fill="5E93CE" w:themeFill="text1" w:themeFillTint="7F"/>
      </w:tcPr>
    </w:tblStylePr>
  </w:style>
  <w:style w:type="table" w:styleId="247">
    <w:name w:val="Colorful Grid Accent 1"/>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C5FFEE" w:themeFill="accent1" w:themeFillTint="33"/>
    </w:tcPr>
    <w:tblStylePr w:type="firstRow">
      <w:rPr>
        <w:b/>
        <w:bCs/>
      </w:rPr>
      <w:tblPr/>
      <w:tcPr>
        <w:shd w:val="clear" w:color="auto" w:fill="8CFFDD" w:themeFill="accent1" w:themeFillTint="66"/>
      </w:tcPr>
    </w:tblStylePr>
    <w:tblStylePr w:type="lastRow">
      <w:rPr>
        <w:b/>
        <w:bCs/>
        <w:color w:val="152C46" w:themeColor="text1"/>
        <w14:textFill>
          <w14:solidFill>
            <w14:schemeClr w14:val="tx1"/>
          </w14:solidFill>
        </w14:textFill>
      </w:rPr>
      <w:tblPr/>
      <w:tcPr>
        <w:shd w:val="clear" w:color="auto" w:fill="8CFFDD" w:themeFill="accent1" w:themeFillTint="66"/>
      </w:tcPr>
    </w:tblStylePr>
    <w:tblStylePr w:type="firstCol">
      <w:rPr>
        <w:color w:val="FFFFFF" w:themeColor="background1"/>
        <w14:textFill>
          <w14:solidFill>
            <w14:schemeClr w14:val="bg1"/>
          </w14:solidFill>
        </w14:textFill>
      </w:rPr>
      <w:tblPr/>
      <w:tcPr>
        <w:shd w:val="clear" w:color="auto" w:fill="00A776" w:themeFill="accent1" w:themeFillShade="BF"/>
      </w:tcPr>
    </w:tblStylePr>
    <w:tblStylePr w:type="lastCol">
      <w:rPr>
        <w:color w:val="FFFFFF" w:themeColor="background1"/>
        <w14:textFill>
          <w14:solidFill>
            <w14:schemeClr w14:val="bg1"/>
          </w14:solidFill>
        </w14:textFill>
      </w:rPr>
      <w:tblPr/>
      <w:tcPr>
        <w:shd w:val="clear" w:color="auto" w:fill="00A776" w:themeFill="accent1" w:themeFillShade="BF"/>
      </w:tcPr>
    </w:tblStylePr>
    <w:tblStylePr w:type="band1Vert">
      <w:tblPr/>
      <w:tcPr>
        <w:shd w:val="clear" w:color="auto" w:fill="70FED5" w:themeFill="accent1" w:themeFillTint="7F"/>
      </w:tcPr>
    </w:tblStylePr>
    <w:tblStylePr w:type="band1Horz">
      <w:tblPr/>
      <w:tcPr>
        <w:shd w:val="clear" w:color="auto" w:fill="70FED5" w:themeFill="accent1" w:themeFillTint="7F"/>
      </w:tcPr>
    </w:tblStylePr>
  </w:style>
  <w:style w:type="table" w:styleId="248">
    <w:name w:val="Colorful Grid Accent 2"/>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D4E9E9" w:themeFill="accent2" w:themeFillTint="33"/>
    </w:tcPr>
    <w:tblStylePr w:type="firstRow">
      <w:rPr>
        <w:b/>
        <w:bCs/>
      </w:rPr>
      <w:tblPr/>
      <w:tcPr>
        <w:shd w:val="clear" w:color="auto" w:fill="AAD4D3" w:themeFill="accent2" w:themeFillTint="66"/>
      </w:tcPr>
    </w:tblStylePr>
    <w:tblStylePr w:type="lastRow">
      <w:rPr>
        <w:b/>
        <w:bCs/>
        <w:color w:val="152C46" w:themeColor="text1"/>
        <w14:textFill>
          <w14:solidFill>
            <w14:schemeClr w14:val="tx1"/>
          </w14:solidFill>
        </w14:textFill>
      </w:rPr>
      <w:tblPr/>
      <w:tcPr>
        <w:shd w:val="clear" w:color="auto" w:fill="AAD4D3" w:themeFill="accent2" w:themeFillTint="66"/>
      </w:tcPr>
    </w:tblStylePr>
    <w:tblStylePr w:type="firstCol">
      <w:rPr>
        <w:color w:val="FFFFFF" w:themeColor="background1"/>
        <w14:textFill>
          <w14:solidFill>
            <w14:schemeClr w14:val="bg1"/>
          </w14:solidFill>
        </w14:textFill>
      </w:rPr>
      <w:tblPr/>
      <w:tcPr>
        <w:shd w:val="clear" w:color="auto" w:fill="305F5F" w:themeFill="accent2" w:themeFillShade="BF"/>
      </w:tcPr>
    </w:tblStylePr>
    <w:tblStylePr w:type="lastCol">
      <w:rPr>
        <w:color w:val="FFFFFF" w:themeColor="background1"/>
        <w14:textFill>
          <w14:solidFill>
            <w14:schemeClr w14:val="bg1"/>
          </w14:solidFill>
        </w14:textFill>
      </w:rPr>
      <w:tblPr/>
      <w:tcPr>
        <w:shd w:val="clear" w:color="auto" w:fill="305F5F" w:themeFill="accent2" w:themeFillShade="BF"/>
      </w:tcPr>
    </w:tblStylePr>
    <w:tblStylePr w:type="band1Vert">
      <w:tblPr/>
      <w:tcPr>
        <w:shd w:val="clear" w:color="auto" w:fill="96C9C9" w:themeFill="accent2" w:themeFillTint="7F"/>
      </w:tcPr>
    </w:tblStylePr>
    <w:tblStylePr w:type="band1Horz">
      <w:tblPr/>
      <w:tcPr>
        <w:shd w:val="clear" w:color="auto" w:fill="96C9C9" w:themeFill="accent2" w:themeFillTint="7F"/>
      </w:tcPr>
    </w:tblStylePr>
  </w:style>
  <w:style w:type="table" w:styleId="249">
    <w:name w:val="Colorful Grid Accent 3"/>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D0ECF8" w:themeFill="accent3" w:themeFillTint="33"/>
    </w:tcPr>
    <w:tblStylePr w:type="firstRow">
      <w:rPr>
        <w:b/>
        <w:bCs/>
      </w:rPr>
      <w:tblPr/>
      <w:tcPr>
        <w:shd w:val="clear" w:color="auto" w:fill="A1D9F2" w:themeFill="accent3" w:themeFillTint="66"/>
      </w:tcPr>
    </w:tblStylePr>
    <w:tblStylePr w:type="lastRow">
      <w:rPr>
        <w:b/>
        <w:bCs/>
        <w:color w:val="152C46" w:themeColor="text1"/>
        <w14:textFill>
          <w14:solidFill>
            <w14:schemeClr w14:val="tx1"/>
          </w14:solidFill>
        </w14:textFill>
      </w:rPr>
      <w:tblPr/>
      <w:tcPr>
        <w:shd w:val="clear" w:color="auto" w:fill="A1D9F2" w:themeFill="accent3" w:themeFillTint="66"/>
      </w:tcPr>
    </w:tblStylePr>
    <w:tblStylePr w:type="firstCol">
      <w:rPr>
        <w:color w:val="FFFFFF" w:themeColor="background1"/>
        <w14:textFill>
          <w14:solidFill>
            <w14:schemeClr w14:val="bg1"/>
          </w14:solidFill>
        </w14:textFill>
      </w:rPr>
      <w:tblPr/>
      <w:tcPr>
        <w:shd w:val="clear" w:color="auto" w:fill="1677A1" w:themeFill="accent3" w:themeFillShade="BF"/>
      </w:tcPr>
    </w:tblStylePr>
    <w:tblStylePr w:type="lastCol">
      <w:rPr>
        <w:color w:val="FFFFFF" w:themeColor="background1"/>
        <w14:textFill>
          <w14:solidFill>
            <w14:schemeClr w14:val="bg1"/>
          </w14:solidFill>
        </w14:textFill>
      </w:rPr>
      <w:tblPr/>
      <w:tcPr>
        <w:shd w:val="clear" w:color="auto" w:fill="1677A1" w:themeFill="accent3" w:themeFillShade="BF"/>
      </w:tcPr>
    </w:tblStylePr>
    <w:tblStylePr w:type="band1Vert">
      <w:tblPr/>
      <w:tcPr>
        <w:shd w:val="clear" w:color="auto" w:fill="8BD0EE" w:themeFill="accent3" w:themeFillTint="7F"/>
      </w:tcPr>
    </w:tblStylePr>
    <w:tblStylePr w:type="band1Horz">
      <w:tblPr/>
      <w:tcPr>
        <w:shd w:val="clear" w:color="auto" w:fill="8BD0EE" w:themeFill="accent3" w:themeFillTint="7F"/>
      </w:tcPr>
    </w:tblStylePr>
  </w:style>
  <w:style w:type="table" w:styleId="250">
    <w:name w:val="Colorful Grid Accent 4"/>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E5E8F8" w:themeFill="accent4" w:themeFillTint="33"/>
    </w:tcPr>
    <w:tblStylePr w:type="firstRow">
      <w:rPr>
        <w:b/>
        <w:bCs/>
      </w:rPr>
      <w:tblPr/>
      <w:tcPr>
        <w:shd w:val="clear" w:color="auto" w:fill="CCD1F1" w:themeFill="accent4" w:themeFillTint="66"/>
      </w:tcPr>
    </w:tblStylePr>
    <w:tblStylePr w:type="lastRow">
      <w:rPr>
        <w:b/>
        <w:bCs/>
        <w:color w:val="152C46" w:themeColor="text1"/>
        <w14:textFill>
          <w14:solidFill>
            <w14:schemeClr w14:val="tx1"/>
          </w14:solidFill>
        </w14:textFill>
      </w:rPr>
      <w:tblPr/>
      <w:tcPr>
        <w:shd w:val="clear" w:color="auto" w:fill="CCD1F1" w:themeFill="accent4" w:themeFillTint="66"/>
      </w:tcPr>
    </w:tblStylePr>
    <w:tblStylePr w:type="firstCol">
      <w:rPr>
        <w:color w:val="FFFFFF" w:themeColor="background1"/>
        <w14:textFill>
          <w14:solidFill>
            <w14:schemeClr w14:val="bg1"/>
          </w14:solidFill>
        </w14:textFill>
      </w:rPr>
      <w:tblPr/>
      <w:tcPr>
        <w:shd w:val="clear" w:color="auto" w:fill="3A4ECB" w:themeFill="accent4" w:themeFillShade="BF"/>
      </w:tcPr>
    </w:tblStylePr>
    <w:tblStylePr w:type="lastCol">
      <w:rPr>
        <w:color w:val="FFFFFF" w:themeColor="background1"/>
        <w14:textFill>
          <w14:solidFill>
            <w14:schemeClr w14:val="bg1"/>
          </w14:solidFill>
        </w14:textFill>
      </w:rPr>
      <w:tblPr/>
      <w:tcPr>
        <w:shd w:val="clear" w:color="auto" w:fill="3A4ECB" w:themeFill="accent4" w:themeFillShade="BF"/>
      </w:tcPr>
    </w:tblStylePr>
    <w:tblStylePr w:type="band1Vert">
      <w:tblPr/>
      <w:tcPr>
        <w:shd w:val="clear" w:color="auto" w:fill="BFC6EE" w:themeFill="accent4" w:themeFillTint="7F"/>
      </w:tcPr>
    </w:tblStylePr>
    <w:tblStylePr w:type="band1Horz">
      <w:tblPr/>
      <w:tcPr>
        <w:shd w:val="clear" w:color="auto" w:fill="BFC6EE" w:themeFill="accent4" w:themeFillTint="7F"/>
      </w:tcPr>
    </w:tblStylePr>
  </w:style>
  <w:style w:type="table" w:styleId="251">
    <w:name w:val="Colorful Grid Accent 5"/>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FBDBE0" w:themeFill="accent5" w:themeFillTint="33"/>
    </w:tcPr>
    <w:tblStylePr w:type="firstRow">
      <w:rPr>
        <w:b/>
        <w:bCs/>
      </w:rPr>
      <w:tblPr/>
      <w:tcPr>
        <w:shd w:val="clear" w:color="auto" w:fill="F7B7C1" w:themeFill="accent5" w:themeFillTint="66"/>
      </w:tcPr>
    </w:tblStylePr>
    <w:tblStylePr w:type="lastRow">
      <w:rPr>
        <w:b/>
        <w:bCs/>
        <w:color w:val="152C46" w:themeColor="text1"/>
        <w14:textFill>
          <w14:solidFill>
            <w14:schemeClr w14:val="tx1"/>
          </w14:solidFill>
        </w14:textFill>
      </w:rPr>
      <w:tblPr/>
      <w:tcPr>
        <w:shd w:val="clear" w:color="auto" w:fill="F7B7C1" w:themeFill="accent5" w:themeFillTint="66"/>
      </w:tcPr>
    </w:tblStylePr>
    <w:tblStylePr w:type="firstCol">
      <w:rPr>
        <w:color w:val="FFFFFF" w:themeColor="background1"/>
        <w14:textFill>
          <w14:solidFill>
            <w14:schemeClr w14:val="bg1"/>
          </w14:solidFill>
        </w14:textFill>
      </w:rPr>
      <w:tblPr/>
      <w:tcPr>
        <w:shd w:val="clear" w:color="auto" w:fill="D51533" w:themeFill="accent5" w:themeFillShade="BF"/>
      </w:tcPr>
    </w:tblStylePr>
    <w:tblStylePr w:type="lastCol">
      <w:rPr>
        <w:color w:val="FFFFFF" w:themeColor="background1"/>
        <w14:textFill>
          <w14:solidFill>
            <w14:schemeClr w14:val="bg1"/>
          </w14:solidFill>
        </w14:textFill>
      </w:rPr>
      <w:tblPr/>
      <w:tcPr>
        <w:shd w:val="clear" w:color="auto" w:fill="D51533" w:themeFill="accent5" w:themeFillShade="BF"/>
      </w:tcPr>
    </w:tblStylePr>
    <w:tblStylePr w:type="band1Vert">
      <w:tblPr/>
      <w:tcPr>
        <w:shd w:val="clear" w:color="auto" w:fill="F6A6B2" w:themeFill="accent5" w:themeFillTint="7F"/>
      </w:tcPr>
    </w:tblStylePr>
    <w:tblStylePr w:type="band1Horz">
      <w:tblPr/>
      <w:tcPr>
        <w:shd w:val="clear" w:color="auto" w:fill="F6A6B2" w:themeFill="accent5" w:themeFillTint="7F"/>
      </w:tcPr>
    </w:tblStylePr>
  </w:style>
  <w:style w:type="table" w:styleId="252">
    <w:name w:val="Colorful Grid Accent 6"/>
    <w:basedOn w:val="16"/>
    <w:uiPriority w:val="73"/>
    <w:pPr>
      <w:spacing w:after="0" w:line="240" w:lineRule="auto"/>
    </w:pPr>
    <w:rPr>
      <w:color w:val="152C46" w:themeColor="text1"/>
      <w14:textFill>
        <w14:solidFill>
          <w14:schemeClr w14:val="tx1"/>
        </w14:solidFill>
      </w14:textFill>
    </w:rPr>
    <w:tblPr>
      <w:tblBorders>
        <w:insideH w:val="single" w:color="FFFFFF" w:themeColor="background1" w:sz="4" w:space="0"/>
      </w:tblBorders>
    </w:tblPr>
    <w:tcPr>
      <w:shd w:val="clear" w:color="auto" w:fill="FBF1DD" w:themeFill="accent6" w:themeFillTint="33"/>
    </w:tcPr>
    <w:tblStylePr w:type="firstRow">
      <w:rPr>
        <w:b/>
        <w:bCs/>
      </w:rPr>
      <w:tblPr/>
      <w:tcPr>
        <w:shd w:val="clear" w:color="auto" w:fill="F8E4BC" w:themeFill="accent6" w:themeFillTint="66"/>
      </w:tcPr>
    </w:tblStylePr>
    <w:tblStylePr w:type="lastRow">
      <w:rPr>
        <w:b/>
        <w:bCs/>
        <w:color w:val="152C46" w:themeColor="text1"/>
        <w14:textFill>
          <w14:solidFill>
            <w14:schemeClr w14:val="tx1"/>
          </w14:solidFill>
        </w14:textFill>
      </w:rPr>
      <w:tblPr/>
      <w:tcPr>
        <w:shd w:val="clear" w:color="auto" w:fill="F8E4BC" w:themeFill="accent6" w:themeFillTint="66"/>
      </w:tcPr>
    </w:tblStylePr>
    <w:tblStylePr w:type="firstCol">
      <w:rPr>
        <w:color w:val="FFFFFF" w:themeColor="background1"/>
        <w14:textFill>
          <w14:solidFill>
            <w14:schemeClr w14:val="bg1"/>
          </w14:solidFill>
        </w14:textFill>
      </w:rPr>
      <w:tblPr/>
      <w:tcPr>
        <w:shd w:val="clear" w:color="auto" w:fill="DD9B16" w:themeFill="accent6" w:themeFillShade="BF"/>
      </w:tcPr>
    </w:tblStylePr>
    <w:tblStylePr w:type="lastCol">
      <w:rPr>
        <w:color w:val="FFFFFF" w:themeColor="background1"/>
        <w14:textFill>
          <w14:solidFill>
            <w14:schemeClr w14:val="bg1"/>
          </w14:solidFill>
        </w14:textFill>
      </w:rPr>
      <w:tblPr/>
      <w:tcPr>
        <w:shd w:val="clear" w:color="auto" w:fill="DD9B16" w:themeFill="accent6" w:themeFillShade="BF"/>
      </w:tcPr>
    </w:tblStylePr>
    <w:tblStylePr w:type="band1Vert">
      <w:tblPr/>
      <w:tcPr>
        <w:shd w:val="clear" w:color="auto" w:fill="F6DDAB" w:themeFill="accent6" w:themeFillTint="7F"/>
      </w:tcPr>
    </w:tblStylePr>
    <w:tblStylePr w:type="band1Horz">
      <w:tblPr/>
      <w:tcPr>
        <w:shd w:val="clear" w:color="auto" w:fill="F6DDAB" w:themeFill="accent6" w:themeFillTint="7F"/>
      </w:tcPr>
    </w:tblStylePr>
  </w:style>
  <w:style w:type="paragraph" w:customStyle="1" w:styleId="253">
    <w:name w:val="___Base Table"/>
    <w:semiHidden/>
    <w:qFormat/>
    <w:uiPriority w:val="99"/>
    <w:pPr>
      <w:spacing w:after="200" w:line="276" w:lineRule="auto"/>
    </w:pPr>
    <w:rPr>
      <w:rFonts w:asciiTheme="minorHAnsi" w:hAnsiTheme="minorHAnsi" w:eastAsiaTheme="minorHAnsi" w:cstheme="minorBidi"/>
      <w:lang w:val="en-GB" w:eastAsia="en-US" w:bidi="ar-SA"/>
    </w:rPr>
  </w:style>
  <w:style w:type="character" w:customStyle="1" w:styleId="254">
    <w:name w:val="Body Text Char"/>
    <w:basedOn w:val="15"/>
    <w:link w:val="5"/>
    <w:qFormat/>
    <w:uiPriority w:val="2"/>
    <w:rPr>
      <w:color w:val="152C46" w:themeColor="text1"/>
      <w14:textFill>
        <w14:solidFill>
          <w14:schemeClr w14:val="tx1"/>
        </w14:solidFill>
      </w14:textFill>
    </w:rPr>
  </w:style>
  <w:style w:type="paragraph" w:customStyle="1" w:styleId="255">
    <w:name w:val="__1pt spacer"/>
    <w:basedOn w:val="4"/>
    <w:next w:val="5"/>
    <w:qFormat/>
    <w:uiPriority w:val="99"/>
    <w:pPr>
      <w:spacing w:line="20" w:lineRule="exact"/>
    </w:pPr>
    <w:rPr>
      <w:color w:val="FF0000"/>
      <w:sz w:val="2"/>
    </w:rPr>
  </w:style>
  <w:style w:type="paragraph" w:customStyle="1" w:styleId="256">
    <w:name w:val="__Base SECTION"/>
    <w:basedOn w:val="6"/>
    <w:next w:val="5"/>
    <w:semiHidden/>
    <w:qFormat/>
    <w:uiPriority w:val="99"/>
    <w:pPr>
      <w:spacing w:line="20" w:lineRule="exact"/>
    </w:pPr>
    <w:rPr>
      <w:color w:val="0000FF"/>
      <w:sz w:val="16"/>
    </w:rPr>
  </w:style>
  <w:style w:type="paragraph" w:customStyle="1" w:styleId="257">
    <w:name w:val="__Placeholder"/>
    <w:basedOn w:val="6"/>
    <w:next w:val="5"/>
    <w:qFormat/>
    <w:uiPriority w:val="99"/>
    <w:pPr>
      <w:spacing w:line="240" w:lineRule="auto"/>
      <w:jc w:val="center"/>
    </w:pPr>
  </w:style>
  <w:style w:type="paragraph" w:customStyle="1" w:styleId="258">
    <w:name w:val="__MD Anchor"/>
    <w:basedOn w:val="6"/>
    <w:next w:val="5"/>
    <w:qFormat/>
    <w:uiPriority w:val="99"/>
    <w:pPr>
      <w:spacing w:line="20" w:lineRule="exact"/>
    </w:pPr>
  </w:style>
  <w:style w:type="paragraph" w:customStyle="1" w:styleId="259">
    <w:name w:val="__MD Placeholder"/>
    <w:basedOn w:val="6"/>
    <w:next w:val="5"/>
    <w:qFormat/>
    <w:uiPriority w:val="99"/>
    <w:pPr>
      <w:spacing w:line="240" w:lineRule="auto"/>
      <w:jc w:val="center"/>
    </w:pPr>
  </w:style>
  <w:style w:type="paragraph" w:customStyle="1" w:styleId="260">
    <w:name w:val="__MD Spacer"/>
    <w:basedOn w:val="6"/>
    <w:next w:val="5"/>
    <w:qFormat/>
    <w:uiPriority w:val="99"/>
    <w:pPr>
      <w:spacing w:line="240" w:lineRule="exact"/>
    </w:pPr>
  </w:style>
  <w:style w:type="paragraph" w:customStyle="1" w:styleId="261">
    <w:name w:val="Divider Title"/>
    <w:basedOn w:val="144"/>
    <w:next w:val="5"/>
    <w:qFormat/>
    <w:uiPriority w:val="8"/>
    <w:pPr>
      <w:spacing w:before="2400"/>
      <w:contextualSpacing/>
    </w:pPr>
  </w:style>
  <w:style w:type="character" w:customStyle="1" w:styleId="262">
    <w:name w:val="Title Char"/>
    <w:basedOn w:val="15"/>
    <w:link w:val="144"/>
    <w:qFormat/>
    <w:uiPriority w:val="10"/>
    <w:rPr>
      <w:rFonts w:asciiTheme="majorHAnsi" w:hAnsiTheme="majorHAnsi" w:eastAsiaTheme="majorEastAsia" w:cstheme="majorBidi"/>
      <w:caps/>
      <w:color w:val="152C46" w:themeColor="text1"/>
      <w:sz w:val="44"/>
      <w:szCs w:val="52"/>
      <w14:textFill>
        <w14:solidFill>
          <w14:schemeClr w14:val="tx1"/>
        </w14:solidFill>
      </w14:textFill>
    </w:rPr>
  </w:style>
  <w:style w:type="paragraph" w:customStyle="1" w:styleId="263">
    <w:name w:val="Section Title"/>
    <w:basedOn w:val="3"/>
    <w:next w:val="264"/>
    <w:qFormat/>
    <w:uiPriority w:val="0"/>
    <w:pPr>
      <w:spacing w:before="240" w:after="240"/>
      <w:outlineLvl w:val="0"/>
    </w:pPr>
    <w:rPr>
      <w:color w:val="002850"/>
      <w:sz w:val="56"/>
      <w:szCs w:val="22"/>
    </w:rPr>
  </w:style>
  <w:style w:type="paragraph" w:customStyle="1" w:styleId="264">
    <w:name w:val="Section Subheading"/>
    <w:basedOn w:val="3"/>
    <w:next w:val="2"/>
    <w:qFormat/>
    <w:uiPriority w:val="0"/>
    <w:pPr>
      <w:spacing w:after="400" w:line="320" w:lineRule="exact"/>
      <w:outlineLvl w:val="0"/>
    </w:pPr>
    <w:rPr>
      <w:caps/>
      <w:color w:val="002958"/>
      <w:sz w:val="32"/>
      <w:szCs w:val="32"/>
    </w:rPr>
  </w:style>
  <w:style w:type="character" w:customStyle="1" w:styleId="265">
    <w:name w:val="Heading 1 Char"/>
    <w:basedOn w:val="15"/>
    <w:link w:val="2"/>
    <w:qFormat/>
    <w:uiPriority w:val="0"/>
    <w:rPr>
      <w:rFonts w:asciiTheme="majorHAnsi" w:hAnsiTheme="majorHAnsi"/>
      <w:caps/>
      <w:color w:val="002060"/>
      <w:sz w:val="28"/>
    </w:rPr>
  </w:style>
  <w:style w:type="paragraph" w:customStyle="1" w:styleId="266">
    <w:name w:val="Contacts Details"/>
    <w:basedOn w:val="5"/>
    <w:qFormat/>
    <w:uiPriority w:val="14"/>
    <w:pPr>
      <w:spacing w:line="240" w:lineRule="auto"/>
      <w:contextualSpacing/>
    </w:pPr>
    <w:rPr>
      <w:b/>
    </w:rPr>
  </w:style>
  <w:style w:type="paragraph" w:customStyle="1" w:styleId="267">
    <w:name w:val="Contacts Heading"/>
    <w:basedOn w:val="3"/>
    <w:next w:val="268"/>
    <w:uiPriority w:val="13"/>
    <w:rPr>
      <w:b/>
      <w:color w:val="002D50"/>
    </w:rPr>
  </w:style>
  <w:style w:type="paragraph" w:customStyle="1" w:styleId="268">
    <w:name w:val="Contacts Name"/>
    <w:basedOn w:val="5"/>
    <w:next w:val="266"/>
    <w:qFormat/>
    <w:uiPriority w:val="13"/>
    <w:pPr>
      <w:spacing w:after="0"/>
    </w:pPr>
    <w:rPr>
      <w:b/>
    </w:rPr>
  </w:style>
  <w:style w:type="character" w:customStyle="1" w:styleId="269">
    <w:name w:val="Date Char"/>
    <w:basedOn w:val="15"/>
    <w:link w:val="31"/>
    <w:qFormat/>
    <w:uiPriority w:val="12"/>
    <w:rPr>
      <w:color w:val="152C46" w:themeColor="text1"/>
      <w:szCs w:val="20"/>
      <w14:textFill>
        <w14:solidFill>
          <w14:schemeClr w14:val="tx1"/>
        </w14:solidFill>
      </w14:textFill>
    </w:rPr>
  </w:style>
  <w:style w:type="paragraph" w:customStyle="1" w:styleId="270">
    <w:name w:val="CV Job Title"/>
    <w:basedOn w:val="5"/>
    <w:next w:val="271"/>
    <w:qFormat/>
    <w:uiPriority w:val="10"/>
    <w:rPr>
      <w:rFonts w:eastAsiaTheme="minorEastAsia"/>
      <w:szCs w:val="18"/>
    </w:rPr>
  </w:style>
  <w:style w:type="paragraph" w:customStyle="1" w:styleId="271">
    <w:name w:val="CV Tel/Email"/>
    <w:basedOn w:val="270"/>
    <w:qFormat/>
    <w:uiPriority w:val="10"/>
    <w:pPr>
      <w:spacing w:after="0"/>
    </w:pPr>
  </w:style>
  <w:style w:type="paragraph" w:customStyle="1" w:styleId="272">
    <w:name w:val="CV Name"/>
    <w:basedOn w:val="3"/>
    <w:next w:val="270"/>
    <w:uiPriority w:val="9"/>
    <w:pPr>
      <w:spacing w:before="240" w:after="120" w:line="240" w:lineRule="auto"/>
    </w:pPr>
    <w:rPr>
      <w:rFonts w:eastAsiaTheme="minorEastAsia"/>
      <w:b/>
      <w:color w:val="808DDE"/>
    </w:rPr>
  </w:style>
  <w:style w:type="paragraph" w:customStyle="1" w:styleId="273">
    <w:name w:val="Disclaimer Text"/>
    <w:basedOn w:val="6"/>
    <w:qFormat/>
    <w:uiPriority w:val="14"/>
    <w:pPr>
      <w:tabs>
        <w:tab w:val="left" w:pos="284"/>
      </w:tabs>
    </w:pPr>
    <w:rPr>
      <w:sz w:val="14"/>
    </w:rPr>
  </w:style>
  <w:style w:type="paragraph" w:customStyle="1" w:styleId="274">
    <w:name w:val="Disclaimer Heading"/>
    <w:basedOn w:val="273"/>
    <w:next w:val="273"/>
    <w:uiPriority w:val="14"/>
    <w:pPr>
      <w:spacing w:before="240"/>
    </w:pPr>
    <w:rPr>
      <w:rFonts w:cstheme="minorHAnsi"/>
      <w:b/>
    </w:rPr>
  </w:style>
  <w:style w:type="character" w:customStyle="1" w:styleId="275">
    <w:name w:val="Footnote Text Char"/>
    <w:basedOn w:val="15"/>
    <w:link w:val="44"/>
    <w:uiPriority w:val="58"/>
    <w:rPr>
      <w:color w:val="152C46" w:themeColor="text1"/>
      <w:sz w:val="14"/>
      <w:szCs w:val="14"/>
      <w14:textFill>
        <w14:solidFill>
          <w14:schemeClr w14:val="tx1"/>
        </w14:solidFill>
      </w14:textFill>
    </w:rPr>
  </w:style>
  <w:style w:type="character" w:customStyle="1" w:styleId="276">
    <w:name w:val="Heading 2 Char"/>
    <w:basedOn w:val="15"/>
    <w:link w:val="7"/>
    <w:uiPriority w:val="1"/>
    <w:rPr>
      <w:rFonts w:asciiTheme="majorHAnsi" w:hAnsiTheme="majorHAnsi" w:eastAsiaTheme="majorEastAsia" w:cstheme="majorBidi"/>
      <w:b/>
      <w:bCs/>
      <w:color w:val="152C46" w:themeColor="text1"/>
      <w:sz w:val="24"/>
      <w:szCs w:val="24"/>
      <w14:textFill>
        <w14:solidFill>
          <w14:schemeClr w14:val="tx1"/>
        </w14:solidFill>
      </w14:textFill>
    </w:rPr>
  </w:style>
  <w:style w:type="character" w:customStyle="1" w:styleId="277">
    <w:name w:val="Heading 3 Char"/>
    <w:basedOn w:val="15"/>
    <w:link w:val="8"/>
    <w:qFormat/>
    <w:uiPriority w:val="1"/>
    <w:rPr>
      <w:rFonts w:asciiTheme="majorHAnsi" w:hAnsiTheme="majorHAnsi" w:eastAsiaTheme="majorEastAsia" w:cstheme="majorBidi"/>
      <w:b/>
      <w:bCs/>
      <w:color w:val="152C46" w:themeColor="text1"/>
      <w14:textFill>
        <w14:solidFill>
          <w14:schemeClr w14:val="tx1"/>
        </w14:solidFill>
      </w14:textFill>
    </w:rPr>
  </w:style>
  <w:style w:type="character" w:customStyle="1" w:styleId="278">
    <w:name w:val="Heading 4 Char"/>
    <w:basedOn w:val="15"/>
    <w:link w:val="9"/>
    <w:qFormat/>
    <w:uiPriority w:val="1"/>
    <w:rPr>
      <w:rFonts w:asciiTheme="majorHAnsi" w:hAnsiTheme="majorHAnsi" w:eastAsiaTheme="majorEastAsia" w:cstheme="majorBidi"/>
      <w:b/>
      <w:bCs/>
      <w:iCs/>
      <w:color w:val="1E9FD7" w:themeColor="accent3"/>
      <w14:textFill>
        <w14:solidFill>
          <w14:schemeClr w14:val="accent3"/>
        </w14:solidFill>
      </w14:textFill>
    </w:rPr>
  </w:style>
  <w:style w:type="paragraph" w:customStyle="1" w:styleId="279">
    <w:name w:val="Lead Paragraph"/>
    <w:basedOn w:val="3"/>
    <w:next w:val="2"/>
    <w:qFormat/>
    <w:uiPriority w:val="0"/>
    <w:pPr>
      <w:spacing w:before="240" w:after="480"/>
    </w:pPr>
    <w:rPr>
      <w:color w:val="1E9FD7" w:themeColor="accent3"/>
      <w:sz w:val="32"/>
      <w:szCs w:val="24"/>
      <w14:textFill>
        <w14:solidFill>
          <w14:schemeClr w14:val="accent3"/>
        </w14:solidFill>
      </w14:textFill>
    </w:rPr>
  </w:style>
  <w:style w:type="paragraph" w:customStyle="1" w:styleId="280">
    <w:name w:val="Margin Text"/>
    <w:basedOn w:val="5"/>
    <w:qFormat/>
    <w:uiPriority w:val="2"/>
    <w:rPr>
      <w:color w:val="00704F" w:themeColor="accent1" w:themeShade="80"/>
      <w:szCs w:val="18"/>
    </w:rPr>
  </w:style>
  <w:style w:type="paragraph" w:customStyle="1" w:styleId="281">
    <w:name w:val="Margin Quote"/>
    <w:basedOn w:val="280"/>
    <w:next w:val="280"/>
    <w:qFormat/>
    <w:uiPriority w:val="3"/>
    <w:pPr>
      <w:ind w:left="62" w:hanging="62"/>
    </w:pPr>
  </w:style>
  <w:style w:type="character" w:customStyle="1" w:styleId="282">
    <w:name w:val="Subtitle Char"/>
    <w:basedOn w:val="15"/>
    <w:link w:val="97"/>
    <w:uiPriority w:val="11"/>
    <w:rPr>
      <w:rFonts w:asciiTheme="majorHAnsi" w:hAnsiTheme="majorHAnsi" w:eastAsiaTheme="majorEastAsia" w:cstheme="majorBidi"/>
      <w:iCs/>
      <w:caps/>
      <w:color w:val="002958"/>
      <w:sz w:val="44"/>
      <w:szCs w:val="54"/>
    </w:rPr>
  </w:style>
  <w:style w:type="paragraph" w:customStyle="1" w:styleId="283">
    <w:name w:val="Table Text"/>
    <w:basedOn w:val="253"/>
    <w:qFormat/>
    <w:uiPriority w:val="5"/>
    <w:pPr>
      <w:spacing w:before="120" w:after="120"/>
    </w:pPr>
    <w:rPr>
      <w:color w:val="24328B" w:themeColor="accent4" w:themeShade="80"/>
      <w:sz w:val="18"/>
    </w:rPr>
  </w:style>
  <w:style w:type="paragraph" w:customStyle="1" w:styleId="284">
    <w:name w:val="Table Bullet"/>
    <w:basedOn w:val="283"/>
    <w:qFormat/>
    <w:uiPriority w:val="6"/>
    <w:pPr>
      <w:numPr>
        <w:ilvl w:val="0"/>
        <w:numId w:val="8"/>
      </w:numPr>
      <w:spacing w:line="240" w:lineRule="auto"/>
    </w:pPr>
  </w:style>
  <w:style w:type="paragraph" w:customStyle="1" w:styleId="285">
    <w:name w:val="TOC Heading"/>
    <w:basedOn w:val="3"/>
    <w:next w:val="286"/>
    <w:unhideWhenUsed/>
    <w:qFormat/>
    <w:uiPriority w:val="39"/>
    <w:pPr>
      <w:spacing w:before="240" w:after="720" w:line="400" w:lineRule="exact"/>
    </w:pPr>
    <w:rPr>
      <w:color w:val="002850"/>
      <w:sz w:val="72"/>
    </w:rPr>
  </w:style>
  <w:style w:type="paragraph" w:customStyle="1" w:styleId="286">
    <w:name w:val="TOC Subheading"/>
    <w:basedOn w:val="264"/>
    <w:next w:val="2"/>
    <w:qFormat/>
    <w:uiPriority w:val="38"/>
    <w:pPr>
      <w:ind w:right="-2836"/>
      <w:outlineLvl w:val="9"/>
    </w:pPr>
    <w:rPr>
      <w:caps w:val="0"/>
      <w:color w:val="002D50"/>
    </w:rPr>
  </w:style>
  <w:style w:type="character" w:customStyle="1" w:styleId="287">
    <w:name w:val="Book Title"/>
    <w:basedOn w:val="15"/>
    <w:semiHidden/>
    <w:qFormat/>
    <w:uiPriority w:val="33"/>
    <w:rPr>
      <w:b/>
      <w:bCs/>
      <w:smallCaps/>
      <w:spacing w:val="5"/>
    </w:rPr>
  </w:style>
  <w:style w:type="character" w:customStyle="1" w:styleId="288">
    <w:name w:val="Intense Emphasis"/>
    <w:basedOn w:val="15"/>
    <w:semiHidden/>
    <w:qFormat/>
    <w:uiPriority w:val="21"/>
    <w:rPr>
      <w:b/>
      <w:bCs/>
      <w:i/>
      <w:iCs/>
      <w:color w:val="00E09E" w:themeColor="accent1"/>
      <w14:textFill>
        <w14:solidFill>
          <w14:schemeClr w14:val="accent1"/>
        </w14:solidFill>
      </w14:textFill>
    </w:rPr>
  </w:style>
  <w:style w:type="paragraph" w:styleId="289">
    <w:name w:val="Intense Quote"/>
    <w:basedOn w:val="1"/>
    <w:next w:val="1"/>
    <w:link w:val="290"/>
    <w:semiHidden/>
    <w:qFormat/>
    <w:uiPriority w:val="30"/>
    <w:pPr>
      <w:pBdr>
        <w:bottom w:val="single" w:color="00E09E" w:themeColor="accent1" w:sz="4" w:space="4"/>
      </w:pBdr>
      <w:spacing w:before="200" w:after="280"/>
      <w:ind w:left="936" w:right="936"/>
    </w:pPr>
    <w:rPr>
      <w:b/>
      <w:bCs/>
      <w:i/>
      <w:iCs/>
      <w:color w:val="00E09E" w:themeColor="accent1"/>
      <w14:textFill>
        <w14:solidFill>
          <w14:schemeClr w14:val="accent1"/>
        </w14:solidFill>
      </w14:textFill>
    </w:rPr>
  </w:style>
  <w:style w:type="character" w:customStyle="1" w:styleId="290">
    <w:name w:val="Intense Quote Char"/>
    <w:basedOn w:val="15"/>
    <w:link w:val="289"/>
    <w:qFormat/>
    <w:uiPriority w:val="30"/>
    <w:rPr>
      <w:b/>
      <w:bCs/>
      <w:i/>
      <w:iCs/>
      <w:color w:val="00E09E" w:themeColor="accent1"/>
      <w14:textFill>
        <w14:solidFill>
          <w14:schemeClr w14:val="accent1"/>
        </w14:solidFill>
      </w14:textFill>
    </w:rPr>
  </w:style>
  <w:style w:type="character" w:customStyle="1" w:styleId="291">
    <w:name w:val="Intense Reference"/>
    <w:basedOn w:val="15"/>
    <w:semiHidden/>
    <w:qFormat/>
    <w:uiPriority w:val="32"/>
    <w:rPr>
      <w:b/>
      <w:bCs/>
      <w:smallCaps/>
      <w:color w:val="41807F" w:themeColor="accent2"/>
      <w:spacing w:val="5"/>
      <w:u w:val="single"/>
      <w14:textFill>
        <w14:solidFill>
          <w14:schemeClr w14:val="accent2"/>
        </w14:solidFill>
      </w14:textFill>
    </w:rPr>
  </w:style>
  <w:style w:type="paragraph" w:styleId="292">
    <w:name w:val="List Paragraph"/>
    <w:basedOn w:val="1"/>
    <w:qFormat/>
    <w:uiPriority w:val="34"/>
    <w:pPr>
      <w:numPr>
        <w:ilvl w:val="1"/>
        <w:numId w:val="9"/>
      </w:numPr>
      <w:spacing w:line="240" w:lineRule="auto"/>
      <w:contextualSpacing/>
    </w:pPr>
    <w:rPr>
      <w:rFonts w:cstheme="minorHAnsi"/>
      <w:color w:val="152C46" w:themeColor="text1"/>
      <w14:textFill>
        <w14:solidFill>
          <w14:schemeClr w14:val="tx1"/>
        </w14:solidFill>
      </w14:textFill>
    </w:rPr>
  </w:style>
  <w:style w:type="paragraph" w:styleId="293">
    <w:name w:val="No Spacing"/>
    <w:semiHidden/>
    <w:qFormat/>
    <w:uiPriority w:val="99"/>
    <w:pPr>
      <w:spacing w:after="0" w:line="240" w:lineRule="auto"/>
    </w:pPr>
    <w:rPr>
      <w:rFonts w:asciiTheme="minorHAnsi" w:hAnsiTheme="minorHAnsi" w:eastAsiaTheme="minorHAnsi" w:cstheme="minorBidi"/>
      <w:lang w:val="en-GB" w:eastAsia="en-US" w:bidi="ar-SA"/>
    </w:rPr>
  </w:style>
  <w:style w:type="paragraph" w:styleId="294">
    <w:name w:val="Quote"/>
    <w:basedOn w:val="1"/>
    <w:next w:val="1"/>
    <w:link w:val="295"/>
    <w:semiHidden/>
    <w:qFormat/>
    <w:uiPriority w:val="29"/>
    <w:rPr>
      <w:i/>
      <w:iCs/>
      <w:color w:val="152C46" w:themeColor="text1"/>
      <w14:textFill>
        <w14:solidFill>
          <w14:schemeClr w14:val="tx1"/>
        </w14:solidFill>
      </w14:textFill>
    </w:rPr>
  </w:style>
  <w:style w:type="character" w:customStyle="1" w:styleId="295">
    <w:name w:val="Quote Char"/>
    <w:basedOn w:val="15"/>
    <w:link w:val="294"/>
    <w:qFormat/>
    <w:uiPriority w:val="29"/>
    <w:rPr>
      <w:i/>
      <w:iCs/>
      <w:color w:val="152C46" w:themeColor="text1"/>
      <w14:textFill>
        <w14:solidFill>
          <w14:schemeClr w14:val="tx1"/>
        </w14:solidFill>
      </w14:textFill>
    </w:rPr>
  </w:style>
  <w:style w:type="character" w:customStyle="1" w:styleId="296">
    <w:name w:val="Subtle Emphasis"/>
    <w:basedOn w:val="15"/>
    <w:semiHidden/>
    <w:qFormat/>
    <w:uiPriority w:val="19"/>
    <w:rPr>
      <w:i/>
      <w:iCs/>
      <w:color w:val="5E93CF" w:themeColor="text1" w:themeTint="80"/>
      <w14:textFill>
        <w14:solidFill>
          <w14:schemeClr w14:val="tx1">
            <w14:lumMod w14:val="50000"/>
            <w14:lumOff w14:val="50000"/>
          </w14:schemeClr>
        </w14:solidFill>
      </w14:textFill>
    </w:rPr>
  </w:style>
  <w:style w:type="character" w:customStyle="1" w:styleId="297">
    <w:name w:val="Subtle Reference"/>
    <w:basedOn w:val="15"/>
    <w:semiHidden/>
    <w:qFormat/>
    <w:uiPriority w:val="31"/>
    <w:rPr>
      <w:smallCaps/>
      <w:color w:val="41807F" w:themeColor="accent2"/>
      <w:u w:val="single"/>
      <w14:textFill>
        <w14:solidFill>
          <w14:schemeClr w14:val="accent2"/>
        </w14:solidFill>
      </w14:textFill>
    </w:rPr>
  </w:style>
  <w:style w:type="table" w:customStyle="1" w:styleId="298">
    <w:name w:val="Plain"/>
    <w:basedOn w:val="16"/>
    <w:qFormat/>
    <w:uiPriority w:val="99"/>
    <w:pPr>
      <w:spacing w:after="0"/>
    </w:pPr>
    <w:tblPr>
      <w:tblCellMar>
        <w:left w:w="0" w:type="dxa"/>
        <w:right w:w="0" w:type="dxa"/>
      </w:tblCellMar>
    </w:tblPr>
  </w:style>
  <w:style w:type="character" w:customStyle="1" w:styleId="299">
    <w:name w:val="Header Char"/>
    <w:basedOn w:val="15"/>
    <w:link w:val="42"/>
    <w:qFormat/>
    <w:uiPriority w:val="99"/>
    <w:rPr>
      <w:caps/>
      <w:color w:val="152C46" w:themeColor="text1"/>
      <w:sz w:val="14"/>
      <w14:textFill>
        <w14:solidFill>
          <w14:schemeClr w14:val="tx1"/>
        </w14:solidFill>
      </w14:textFill>
    </w:rPr>
  </w:style>
  <w:style w:type="character" w:customStyle="1" w:styleId="300">
    <w:name w:val="Footer Char"/>
    <w:basedOn w:val="15"/>
    <w:link w:val="41"/>
    <w:qFormat/>
    <w:uiPriority w:val="58"/>
    <w:rPr>
      <w:caps/>
      <w:color w:val="ED4D66" w:themeColor="accent5"/>
      <w:sz w:val="14"/>
      <w:szCs w:val="14"/>
      <w14:textFill>
        <w14:solidFill>
          <w14:schemeClr w14:val="accent5"/>
        </w14:solidFill>
      </w14:textFill>
    </w:rPr>
  </w:style>
  <w:style w:type="table" w:customStyle="1" w:styleId="301">
    <w:name w:val="Grid Table Light"/>
    <w:basedOn w:val="16"/>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02">
    <w:name w:val="Style1"/>
    <w:basedOn w:val="16"/>
    <w:qFormat/>
    <w:uiPriority w:val="99"/>
    <w:pPr>
      <w:spacing w:after="0" w:line="240" w:lineRule="auto"/>
    </w:pPr>
    <w:rPr>
      <w:sz w:val="18"/>
    </w:rPr>
    <w:tblPr>
      <w:tblBorders>
        <w:top w:val="single" w:color="152C46" w:themeColor="text1" w:sz="4" w:space="0"/>
        <w:bottom w:val="single" w:color="152C46" w:themeColor="text1" w:sz="4" w:space="0"/>
        <w:insideH w:val="single" w:color="152C46" w:themeColor="text1" w:sz="4" w:space="0"/>
      </w:tblBorders>
    </w:tblPr>
    <w:tblStylePr w:type="firstRow">
      <w:pPr>
        <w:jc w:val="left"/>
      </w:pPr>
      <w:rPr>
        <w:rFonts w:ascii="Arial" w:hAnsi="Arial"/>
        <w:caps/>
        <w:smallCaps w:val="0"/>
        <w:color w:val="FFFFFF" w:themeColor="background1"/>
        <w:sz w:val="20"/>
        <w14:textFill>
          <w14:solidFill>
            <w14:schemeClr w14:val="bg1"/>
          </w14:solidFill>
        </w14:textFill>
      </w:rPr>
      <w:tcPr>
        <w:tcBorders>
          <w:top w:val="nil"/>
          <w:left w:val="nil"/>
          <w:bottom w:val="nil"/>
          <w:right w:val="nil"/>
          <w:insideH w:val="nil"/>
          <w:insideV w:val="nil"/>
          <w:tl2br w:val="nil"/>
          <w:tr2bl w:val="nil"/>
        </w:tcBorders>
        <w:shd w:val="clear" w:color="auto" w:fill="152C46" w:themeFill="text1"/>
      </w:tcPr>
    </w:tblStylePr>
  </w:style>
  <w:style w:type="paragraph" w:customStyle="1" w:styleId="303">
    <w:name w:val="Table Header White"/>
    <w:basedOn w:val="5"/>
    <w:qFormat/>
    <w:uiPriority w:val="99"/>
    <w:pPr>
      <w:spacing w:before="120"/>
    </w:pPr>
    <w:rPr>
      <w:caps/>
      <w:color w:val="FFFFFF" w:themeColor="background1"/>
      <w14:textFill>
        <w14:solidFill>
          <w14:schemeClr w14:val="bg1"/>
        </w14:solidFill>
      </w14:textFill>
    </w:rPr>
  </w:style>
  <w:style w:type="table" w:customStyle="1" w:styleId="304">
    <w:name w:val="Howden Text Vertical"/>
    <w:basedOn w:val="16"/>
    <w:qFormat/>
    <w:uiPriority w:val="99"/>
    <w:pPr>
      <w:spacing w:before="80" w:after="60"/>
      <w:ind w:left="113" w:right="113"/>
    </w:pPr>
    <w:rPr>
      <w:color w:val="152C46" w:themeColor="text1"/>
      <w:sz w:val="18"/>
      <w14:textFill>
        <w14:solidFill>
          <w14:schemeClr w14:val="tx1"/>
        </w14:solidFill>
      </w14:textFill>
    </w:rPr>
    <w:tblPr>
      <w:tblBorders>
        <w:top w:val="single" w:color="152C46" w:themeColor="text1" w:sz="4" w:space="0"/>
        <w:bottom w:val="single" w:color="152C46" w:themeColor="text1" w:sz="4" w:space="0"/>
        <w:insideH w:val="single" w:color="152C46" w:themeColor="text1" w:sz="4" w:space="0"/>
      </w:tblBorders>
      <w:tblCellMar>
        <w:left w:w="0" w:type="dxa"/>
        <w:right w:w="0" w:type="dxa"/>
      </w:tblCellMar>
    </w:tblPr>
    <w:tblStylePr w:type="firstRow">
      <w:rPr>
        <w:rFonts w:asciiTheme="minorHAnsi" w:hAnsiTheme="minorHAnsi"/>
        <w:color w:val="152C46" w:themeColor="text1"/>
        <w:sz w:val="18"/>
        <w14:textFill>
          <w14:solidFill>
            <w14:schemeClr w14:val="tx1"/>
          </w14:solidFill>
        </w14:textFill>
      </w:rPr>
    </w:tblStylePr>
    <w:tblStylePr w:type="firstCol">
      <w:rPr>
        <w:rFonts w:ascii="Arial" w:hAnsi="Arial"/>
        <w:b w:val="0"/>
        <w:caps/>
        <w:smallCaps w:val="0"/>
        <w:color w:val="FFFFFF" w:themeColor="background1"/>
        <w:sz w:val="20"/>
        <w14:textFill>
          <w14:solidFill>
            <w14:schemeClr w14:val="bg1"/>
          </w14:solidFill>
        </w14:textFill>
      </w:rPr>
      <w:tcPr>
        <w:tcBorders>
          <w:insideH w:val="nil"/>
        </w:tcBorders>
        <w:shd w:val="clear" w:color="auto" w:fill="152C46" w:themeFill="text1"/>
      </w:tcPr>
    </w:tblStylePr>
    <w:tblStylePr w:type="lastCol">
      <w:tcPr>
        <w:tcBorders>
          <w:top w:val="single" w:color="41807F" w:themeColor="accent2" w:sz="4" w:space="0"/>
          <w:left w:val="nil"/>
          <w:bottom w:val="single" w:color="41807F" w:themeColor="accent2" w:sz="4" w:space="0"/>
          <w:right w:val="nil"/>
          <w:insideH w:val="single" w:sz="4" w:space="0"/>
          <w:insideV w:val="nil"/>
          <w:tl2br w:val="nil"/>
          <w:tr2bl w:val="nil"/>
        </w:tcBorders>
      </w:tcPr>
    </w:tblStylePr>
  </w:style>
  <w:style w:type="paragraph" w:customStyle="1" w:styleId="305">
    <w:name w:val="Appendix Title"/>
    <w:basedOn w:val="261"/>
    <w:next w:val="5"/>
    <w:qFormat/>
    <w:uiPriority w:val="9"/>
    <w:pPr>
      <w:numPr>
        <w:ilvl w:val="0"/>
        <w:numId w:val="10"/>
      </w:numPr>
    </w:pPr>
  </w:style>
  <w:style w:type="paragraph" w:customStyle="1" w:styleId="306">
    <w:name w:val="Margin Stat"/>
    <w:basedOn w:val="5"/>
    <w:qFormat/>
    <w:uiPriority w:val="3"/>
    <w:pPr>
      <w:spacing w:line="240" w:lineRule="auto"/>
    </w:pPr>
    <w:rPr>
      <w:color w:val="8F0E22" w:themeColor="accent5" w:themeShade="80"/>
      <w:sz w:val="72"/>
      <w:szCs w:val="56"/>
    </w:rPr>
  </w:style>
  <w:style w:type="character" w:customStyle="1" w:styleId="307">
    <w:name w:val="Balloon Text Char"/>
    <w:basedOn w:val="15"/>
    <w:link w:val="17"/>
    <w:semiHidden/>
    <w:qFormat/>
    <w:uiPriority w:val="99"/>
    <w:rPr>
      <w:rFonts w:ascii="Tahoma" w:hAnsi="Tahoma" w:cs="Tahoma"/>
      <w:sz w:val="16"/>
      <w:szCs w:val="16"/>
    </w:rPr>
  </w:style>
  <w:style w:type="paragraph" w:customStyle="1" w:styleId="308">
    <w:name w:val="__SECTION ToC"/>
    <w:basedOn w:val="256"/>
    <w:next w:val="5"/>
    <w:qFormat/>
    <w:uiPriority w:val="99"/>
  </w:style>
  <w:style w:type="paragraph" w:customStyle="1" w:styleId="309">
    <w:name w:val="__SECTION Cover"/>
    <w:basedOn w:val="256"/>
    <w:next w:val="5"/>
    <w:qFormat/>
    <w:uiPriority w:val="99"/>
    <w:pPr>
      <w:spacing w:after="2400"/>
    </w:pPr>
  </w:style>
  <w:style w:type="character" w:customStyle="1" w:styleId="310">
    <w:name w:val="Heading 5 Char"/>
    <w:basedOn w:val="15"/>
    <w:link w:val="10"/>
    <w:semiHidden/>
    <w:qFormat/>
    <w:uiPriority w:val="9"/>
    <w:rPr>
      <w:rFonts w:asciiTheme="majorHAnsi" w:hAnsiTheme="majorHAnsi" w:eastAsiaTheme="majorEastAsia" w:cstheme="majorBidi"/>
      <w:color w:val="00704F" w:themeColor="accent1" w:themeShade="80"/>
    </w:rPr>
  </w:style>
  <w:style w:type="character" w:customStyle="1" w:styleId="311">
    <w:name w:val="Heading 6 Char"/>
    <w:basedOn w:val="15"/>
    <w:link w:val="11"/>
    <w:semiHidden/>
    <w:qFormat/>
    <w:uiPriority w:val="9"/>
    <w:rPr>
      <w:rFonts w:asciiTheme="majorHAnsi" w:hAnsiTheme="majorHAnsi" w:eastAsiaTheme="majorEastAsia" w:cstheme="majorBidi"/>
      <w:i/>
      <w:iCs/>
      <w:color w:val="00704F" w:themeColor="accent1" w:themeShade="80"/>
    </w:rPr>
  </w:style>
  <w:style w:type="character" w:customStyle="1" w:styleId="312">
    <w:name w:val="Heading 7 Char"/>
    <w:basedOn w:val="15"/>
    <w:link w:val="12"/>
    <w:semiHidden/>
    <w:qFormat/>
    <w:uiPriority w:val="9"/>
    <w:rPr>
      <w:rFonts w:asciiTheme="majorHAnsi" w:hAnsiTheme="majorHAnsi" w:eastAsiaTheme="majorEastAsia" w:cstheme="majorBidi"/>
      <w:i/>
      <w:iCs/>
      <w:color w:val="2D5F97" w:themeColor="text1" w:themeTint="BF"/>
      <w14:textFill>
        <w14:solidFill>
          <w14:schemeClr w14:val="tx1">
            <w14:lumMod w14:val="75000"/>
            <w14:lumOff w14:val="25000"/>
          </w14:schemeClr>
        </w14:solidFill>
      </w14:textFill>
    </w:rPr>
  </w:style>
  <w:style w:type="character" w:customStyle="1" w:styleId="313">
    <w:name w:val="Heading 8 Char"/>
    <w:basedOn w:val="15"/>
    <w:link w:val="13"/>
    <w:semiHidden/>
    <w:qFormat/>
    <w:uiPriority w:val="9"/>
    <w:rPr>
      <w:rFonts w:asciiTheme="majorHAnsi" w:hAnsiTheme="majorHAnsi" w:eastAsiaTheme="majorEastAsia" w:cstheme="majorBidi"/>
      <w:color w:val="2D5F97" w:themeColor="text1" w:themeTint="BF"/>
      <w14:textFill>
        <w14:solidFill>
          <w14:schemeClr w14:val="tx1">
            <w14:lumMod w14:val="75000"/>
            <w14:lumOff w14:val="25000"/>
          </w14:schemeClr>
        </w14:solidFill>
      </w14:textFill>
    </w:rPr>
  </w:style>
  <w:style w:type="character" w:customStyle="1" w:styleId="314">
    <w:name w:val="Heading 9 Char"/>
    <w:basedOn w:val="15"/>
    <w:link w:val="14"/>
    <w:semiHidden/>
    <w:qFormat/>
    <w:uiPriority w:val="9"/>
    <w:rPr>
      <w:rFonts w:asciiTheme="majorHAnsi" w:hAnsiTheme="majorHAnsi" w:eastAsiaTheme="majorEastAsia" w:cstheme="majorBidi"/>
      <w:i/>
      <w:iCs/>
      <w:color w:val="2D5F97" w:themeColor="text1" w:themeTint="BF"/>
      <w14:textFill>
        <w14:solidFill>
          <w14:schemeClr w14:val="tx1">
            <w14:lumMod w14:val="75000"/>
            <w14:lumOff w14:val="25000"/>
          </w14:schemeClr>
        </w14:solidFill>
      </w14:textFill>
    </w:rPr>
  </w:style>
  <w:style w:type="paragraph" w:customStyle="1" w:styleId="315">
    <w:name w:val="Bibliography"/>
    <w:basedOn w:val="1"/>
    <w:next w:val="1"/>
    <w:semiHidden/>
    <w:qFormat/>
    <w:uiPriority w:val="37"/>
  </w:style>
  <w:style w:type="character" w:customStyle="1" w:styleId="316">
    <w:name w:val="Body Text 2 Char"/>
    <w:basedOn w:val="15"/>
    <w:link w:val="19"/>
    <w:semiHidden/>
    <w:uiPriority w:val="99"/>
  </w:style>
  <w:style w:type="character" w:customStyle="1" w:styleId="317">
    <w:name w:val="Body Text 3 Char"/>
    <w:basedOn w:val="15"/>
    <w:link w:val="20"/>
    <w:semiHidden/>
    <w:uiPriority w:val="99"/>
    <w:rPr>
      <w:sz w:val="16"/>
      <w:szCs w:val="16"/>
    </w:rPr>
  </w:style>
  <w:style w:type="character" w:customStyle="1" w:styleId="318">
    <w:name w:val="Body Text First Indent Char"/>
    <w:basedOn w:val="254"/>
    <w:link w:val="21"/>
    <w:semiHidden/>
    <w:uiPriority w:val="99"/>
    <w:rPr>
      <w:color w:val="152C46" w:themeColor="text1"/>
      <w:sz w:val="18"/>
      <w:szCs w:val="20"/>
      <w14:textFill>
        <w14:solidFill>
          <w14:schemeClr w14:val="tx1"/>
        </w14:solidFill>
      </w14:textFill>
    </w:rPr>
  </w:style>
  <w:style w:type="character" w:customStyle="1" w:styleId="319">
    <w:name w:val="Body Text Indent Char"/>
    <w:basedOn w:val="15"/>
    <w:link w:val="22"/>
    <w:semiHidden/>
    <w:uiPriority w:val="99"/>
  </w:style>
  <w:style w:type="character" w:customStyle="1" w:styleId="320">
    <w:name w:val="Body Text First Indent 2 Char"/>
    <w:basedOn w:val="319"/>
    <w:link w:val="23"/>
    <w:semiHidden/>
    <w:uiPriority w:val="99"/>
  </w:style>
  <w:style w:type="character" w:customStyle="1" w:styleId="321">
    <w:name w:val="Body Text Indent 2 Char"/>
    <w:basedOn w:val="15"/>
    <w:link w:val="24"/>
    <w:semiHidden/>
    <w:uiPriority w:val="99"/>
  </w:style>
  <w:style w:type="character" w:customStyle="1" w:styleId="322">
    <w:name w:val="Body Text Indent 3 Char"/>
    <w:basedOn w:val="15"/>
    <w:link w:val="25"/>
    <w:semiHidden/>
    <w:uiPriority w:val="99"/>
    <w:rPr>
      <w:sz w:val="16"/>
      <w:szCs w:val="16"/>
    </w:rPr>
  </w:style>
  <w:style w:type="character" w:customStyle="1" w:styleId="323">
    <w:name w:val="Closing Char"/>
    <w:basedOn w:val="15"/>
    <w:link w:val="27"/>
    <w:semiHidden/>
    <w:uiPriority w:val="99"/>
  </w:style>
  <w:style w:type="character" w:customStyle="1" w:styleId="324">
    <w:name w:val="Comment Text Char"/>
    <w:basedOn w:val="15"/>
    <w:link w:val="29"/>
    <w:uiPriority w:val="99"/>
  </w:style>
  <w:style w:type="character" w:customStyle="1" w:styleId="325">
    <w:name w:val="Comment Subject Char"/>
    <w:basedOn w:val="324"/>
    <w:link w:val="30"/>
    <w:semiHidden/>
    <w:uiPriority w:val="99"/>
    <w:rPr>
      <w:b/>
      <w:bCs/>
    </w:rPr>
  </w:style>
  <w:style w:type="character" w:customStyle="1" w:styleId="326">
    <w:name w:val="Document Map Char"/>
    <w:basedOn w:val="15"/>
    <w:link w:val="33"/>
    <w:semiHidden/>
    <w:uiPriority w:val="99"/>
    <w:rPr>
      <w:rFonts w:ascii="Tahoma" w:hAnsi="Tahoma" w:cs="Tahoma"/>
      <w:sz w:val="16"/>
      <w:szCs w:val="16"/>
    </w:rPr>
  </w:style>
  <w:style w:type="character" w:customStyle="1" w:styleId="327">
    <w:name w:val="E-mail Signature Char"/>
    <w:basedOn w:val="15"/>
    <w:link w:val="34"/>
    <w:semiHidden/>
    <w:uiPriority w:val="99"/>
  </w:style>
  <w:style w:type="character" w:customStyle="1" w:styleId="328">
    <w:name w:val="Endnote Text Char"/>
    <w:basedOn w:val="15"/>
    <w:link w:val="37"/>
    <w:semiHidden/>
    <w:uiPriority w:val="99"/>
  </w:style>
  <w:style w:type="character" w:customStyle="1" w:styleId="329">
    <w:name w:val="HTML Address Char"/>
    <w:basedOn w:val="15"/>
    <w:link w:val="46"/>
    <w:semiHidden/>
    <w:uiPriority w:val="99"/>
    <w:rPr>
      <w:i/>
      <w:iCs/>
    </w:rPr>
  </w:style>
  <w:style w:type="character" w:customStyle="1" w:styleId="330">
    <w:name w:val="HTML Preformatted Char"/>
    <w:basedOn w:val="15"/>
    <w:link w:val="51"/>
    <w:semiHidden/>
    <w:uiPriority w:val="99"/>
    <w:rPr>
      <w:rFonts w:ascii="Consolas" w:hAnsi="Consolas" w:cs="Consolas"/>
    </w:rPr>
  </w:style>
  <w:style w:type="character" w:customStyle="1" w:styleId="331">
    <w:name w:val="Macro Text Char"/>
    <w:basedOn w:val="15"/>
    <w:link w:val="87"/>
    <w:semiHidden/>
    <w:uiPriority w:val="99"/>
    <w:rPr>
      <w:rFonts w:ascii="Consolas" w:hAnsi="Consolas" w:cs="Consolas"/>
    </w:rPr>
  </w:style>
  <w:style w:type="character" w:customStyle="1" w:styleId="332">
    <w:name w:val="Message Header Char"/>
    <w:basedOn w:val="15"/>
    <w:link w:val="88"/>
    <w:semiHidden/>
    <w:uiPriority w:val="99"/>
    <w:rPr>
      <w:rFonts w:asciiTheme="majorHAnsi" w:hAnsiTheme="majorHAnsi" w:eastAsiaTheme="majorEastAsia" w:cstheme="majorBidi"/>
      <w:sz w:val="24"/>
      <w:szCs w:val="24"/>
      <w:shd w:val="pct20" w:color="auto" w:fill="auto"/>
    </w:rPr>
  </w:style>
  <w:style w:type="character" w:customStyle="1" w:styleId="333">
    <w:name w:val="Note Heading Char"/>
    <w:basedOn w:val="15"/>
    <w:link w:val="91"/>
    <w:semiHidden/>
    <w:uiPriority w:val="99"/>
  </w:style>
  <w:style w:type="character" w:styleId="334">
    <w:name w:val="Placeholder Text"/>
    <w:basedOn w:val="15"/>
    <w:semiHidden/>
    <w:uiPriority w:val="99"/>
    <w:rPr>
      <w:color w:val="808080"/>
    </w:rPr>
  </w:style>
  <w:style w:type="character" w:customStyle="1" w:styleId="335">
    <w:name w:val="Plain Text Char"/>
    <w:basedOn w:val="15"/>
    <w:link w:val="93"/>
    <w:semiHidden/>
    <w:uiPriority w:val="99"/>
    <w:rPr>
      <w:rFonts w:ascii="Consolas" w:hAnsi="Consolas" w:cs="Consolas"/>
      <w:sz w:val="21"/>
      <w:szCs w:val="21"/>
    </w:rPr>
  </w:style>
  <w:style w:type="character" w:customStyle="1" w:styleId="336">
    <w:name w:val="Salutation Char"/>
    <w:basedOn w:val="15"/>
    <w:link w:val="94"/>
    <w:semiHidden/>
    <w:uiPriority w:val="99"/>
  </w:style>
  <w:style w:type="character" w:customStyle="1" w:styleId="337">
    <w:name w:val="Signature Char"/>
    <w:basedOn w:val="15"/>
    <w:link w:val="95"/>
    <w:semiHidden/>
    <w:uiPriority w:val="99"/>
  </w:style>
  <w:style w:type="paragraph" w:customStyle="1" w:styleId="338">
    <w:name w:val="__SECTION Full Width"/>
    <w:basedOn w:val="256"/>
    <w:next w:val="5"/>
    <w:uiPriority w:val="99"/>
  </w:style>
  <w:style w:type="paragraph" w:customStyle="1" w:styleId="339">
    <w:name w:val="__SECTION Landscape"/>
    <w:basedOn w:val="256"/>
    <w:next w:val="5"/>
    <w:uiPriority w:val="99"/>
  </w:style>
  <w:style w:type="paragraph" w:customStyle="1" w:styleId="340">
    <w:name w:val="__SECTION Fold Out"/>
    <w:basedOn w:val="256"/>
    <w:next w:val="5"/>
    <w:uiPriority w:val="99"/>
  </w:style>
  <w:style w:type="paragraph" w:customStyle="1" w:styleId="341">
    <w:name w:val="__SECTION Divider"/>
    <w:basedOn w:val="256"/>
    <w:next w:val="5"/>
    <w:uiPriority w:val="99"/>
  </w:style>
  <w:style w:type="paragraph" w:customStyle="1" w:styleId="342">
    <w:name w:val="__SECTION Back Page"/>
    <w:basedOn w:val="256"/>
    <w:next w:val="5"/>
    <w:uiPriority w:val="99"/>
  </w:style>
  <w:style w:type="paragraph" w:customStyle="1" w:styleId="343">
    <w:name w:val="__SECTION Blank"/>
    <w:basedOn w:val="256"/>
    <w:next w:val="5"/>
    <w:uiPriority w:val="99"/>
  </w:style>
  <w:style w:type="paragraph" w:customStyle="1" w:styleId="344">
    <w:name w:val="__SECTION Pre-Cover"/>
    <w:basedOn w:val="256"/>
    <w:next w:val="5"/>
    <w:uiPriority w:val="99"/>
  </w:style>
  <w:style w:type="paragraph" w:customStyle="1" w:styleId="345">
    <w:name w:val="__LinkedPH"/>
    <w:basedOn w:val="283"/>
    <w:uiPriority w:val="99"/>
    <w:pPr>
      <w:spacing w:after="0" w:line="20" w:lineRule="exact"/>
    </w:pPr>
    <w:rPr>
      <w:sz w:val="2"/>
    </w:rPr>
  </w:style>
  <w:style w:type="paragraph" w:customStyle="1" w:styleId="346">
    <w:name w:val="Table Bullet 2"/>
    <w:basedOn w:val="284"/>
    <w:uiPriority w:val="6"/>
    <w:pPr>
      <w:numPr>
        <w:ilvl w:val="1"/>
      </w:numPr>
    </w:pPr>
  </w:style>
  <w:style w:type="paragraph" w:customStyle="1" w:styleId="347">
    <w:name w:val="Table Bullet 3"/>
    <w:basedOn w:val="346"/>
    <w:uiPriority w:val="6"/>
    <w:pPr>
      <w:numPr>
        <w:ilvl w:val="2"/>
      </w:numPr>
    </w:pPr>
  </w:style>
  <w:style w:type="table" w:customStyle="1" w:styleId="348">
    <w:name w:val="Howden Default Table"/>
    <w:basedOn w:val="16"/>
    <w:uiPriority w:val="99"/>
    <w:pPr>
      <w:spacing w:before="40" w:after="120"/>
      <w:ind w:left="113" w:right="113"/>
    </w:pPr>
    <w:rPr>
      <w:sz w:val="18"/>
    </w:rPr>
    <w:tblPr>
      <w:tblBorders>
        <w:top w:val="single" w:color="152C46" w:themeColor="text1" w:sz="4" w:space="0"/>
        <w:bottom w:val="single" w:color="152C46" w:themeColor="text1" w:sz="4" w:space="0"/>
        <w:insideH w:val="single" w:color="152C46" w:themeColor="text1" w:sz="4" w:space="0"/>
      </w:tblBorders>
      <w:tblCellMar>
        <w:left w:w="0" w:type="dxa"/>
        <w:right w:w="0" w:type="dxa"/>
      </w:tblCellMar>
    </w:tblPr>
    <w:tblStylePr w:type="firstRow">
      <w:pPr>
        <w:keepNext/>
        <w:wordWrap/>
        <w:spacing w:before="120" w:beforeLines="0" w:beforeAutospacing="0" w:after="60" w:afterLines="0" w:afterAutospacing="0" w:line="276" w:lineRule="auto"/>
        <w:ind w:left="113" w:leftChars="0" w:right="113" w:rightChars="0" w:firstLine="0" w:firstLineChars="0"/>
        <w:jc w:val="left"/>
        <w:outlineLvl w:val="9"/>
      </w:pPr>
      <w:rPr>
        <w:rFonts w:ascii="Wingdings 3" w:hAnsi="Wingdings 3"/>
        <w:b w:val="0"/>
        <w:caps/>
        <w:smallCaps w:val="0"/>
        <w:color w:val="FFFFFF" w:themeColor="background1"/>
        <w:sz w:val="20"/>
        <w14:textFill>
          <w14:solidFill>
            <w14:schemeClr w14:val="bg1"/>
          </w14:solidFill>
        </w14:textFill>
      </w:rPr>
      <w:tblPr/>
      <w:trPr>
        <w:cantSplit/>
        <w:tblHeader/>
      </w:trPr>
      <w:tcPr>
        <w:shd w:val="clear" w:color="auto" w:fill="152C46" w:themeFill="text1"/>
      </w:tcPr>
    </w:tblStylePr>
    <w:tblStylePr w:type="lastRow">
      <w:rPr>
        <w:b/>
      </w:rPr>
    </w:tblStylePr>
    <w:tblStylePr w:type="firstCol">
      <w:pPr>
        <w:jc w:val="left"/>
      </w:pPr>
    </w:tblStylePr>
  </w:style>
  <w:style w:type="paragraph" w:customStyle="1" w:styleId="349">
    <w:name w:val="FIX ME"/>
    <w:basedOn w:val="5"/>
    <w:uiPriority w:val="0"/>
    <w:rPr>
      <w:color w:val="FF0000"/>
    </w:rPr>
  </w:style>
  <w:style w:type="paragraph" w:customStyle="1" w:styleId="350">
    <w:name w:val="1pt spacer"/>
    <w:basedOn w:val="72"/>
    <w:uiPriority w:val="99"/>
    <w:pPr>
      <w:numPr>
        <w:ilvl w:val="0"/>
        <w:numId w:val="11"/>
      </w:numPr>
      <w:spacing w:after="0" w:line="240" w:lineRule="auto"/>
      <w:ind w:left="0" w:firstLine="0"/>
    </w:pPr>
    <w:rPr>
      <w:sz w:val="2"/>
      <w:szCs w:val="2"/>
    </w:rPr>
  </w:style>
  <w:style w:type="paragraph" w:customStyle="1" w:styleId="351">
    <w:name w:val="Section Header"/>
    <w:basedOn w:val="263"/>
    <w:uiPriority w:val="99"/>
    <w:rPr>
      <w:b/>
      <w:color w:val="3773B7" w:themeColor="text1" w:themeTint="A6"/>
      <w:sz w:val="24"/>
      <w14:textFill>
        <w14:solidFill>
          <w14:schemeClr w14:val="tx1">
            <w14:lumMod w14:val="65000"/>
            <w14:lumOff w14:val="35000"/>
          </w14:schemeClr>
        </w14:solidFill>
      </w14:textFill>
    </w:rPr>
  </w:style>
  <w:style w:type="paragraph" w:customStyle="1" w:styleId="352">
    <w:name w:val="Heading 1 Ocean Blue"/>
    <w:basedOn w:val="2"/>
    <w:qFormat/>
    <w:uiPriority w:val="0"/>
    <w:rPr>
      <w:color w:val="1E9FD7" w:themeColor="accent3"/>
      <w14:textFill>
        <w14:solidFill>
          <w14:schemeClr w14:val="accent3"/>
        </w14:solidFill>
      </w14:textFill>
    </w:rPr>
  </w:style>
  <w:style w:type="paragraph" w:customStyle="1" w:styleId="353">
    <w:name w:val="Exec Summary Name"/>
    <w:basedOn w:val="1"/>
    <w:uiPriority w:val="99"/>
    <w:pPr>
      <w:suppressAutoHyphens/>
      <w:autoSpaceDE w:val="0"/>
      <w:autoSpaceDN w:val="0"/>
      <w:adjustRightInd w:val="0"/>
      <w:spacing w:after="0"/>
      <w:textAlignment w:val="center"/>
    </w:pPr>
    <w:rPr>
      <w:rFonts w:cstheme="minorHAnsi"/>
      <w:color w:val="808DDE"/>
      <w:spacing w:val="-6"/>
      <w:sz w:val="24"/>
      <w:szCs w:val="30"/>
    </w:rPr>
  </w:style>
  <w:style w:type="paragraph" w:customStyle="1" w:styleId="354">
    <w:name w:val="Exe Summary Position"/>
    <w:basedOn w:val="1"/>
    <w:uiPriority w:val="99"/>
    <w:pPr>
      <w:suppressAutoHyphens/>
      <w:autoSpaceDE w:val="0"/>
      <w:autoSpaceDN w:val="0"/>
      <w:adjustRightInd w:val="0"/>
      <w:spacing w:after="120"/>
      <w:textAlignment w:val="center"/>
    </w:pPr>
    <w:rPr>
      <w:rFonts w:cstheme="minorHAnsi"/>
      <w:b/>
      <w:bCs/>
      <w:color w:val="002D50"/>
      <w:spacing w:val="-2"/>
    </w:rPr>
  </w:style>
  <w:style w:type="paragraph" w:customStyle="1" w:styleId="355">
    <w:name w:val="Exe Summary details"/>
    <w:basedOn w:val="1"/>
    <w:uiPriority w:val="99"/>
    <w:pPr>
      <w:tabs>
        <w:tab w:val="left" w:pos="0"/>
      </w:tabs>
      <w:suppressAutoHyphens/>
      <w:autoSpaceDE w:val="0"/>
      <w:autoSpaceDN w:val="0"/>
      <w:adjustRightInd w:val="0"/>
      <w:spacing w:after="0"/>
      <w:textAlignment w:val="center"/>
    </w:pPr>
    <w:rPr>
      <w:rFonts w:cstheme="minorHAnsi"/>
      <w:color w:val="002D59"/>
      <w:spacing w:val="-2"/>
    </w:rPr>
  </w:style>
  <w:style w:type="paragraph" w:customStyle="1" w:styleId="356">
    <w:name w:val="[No Paragraph Style]"/>
    <w:uiPriority w:val="0"/>
    <w:pPr>
      <w:autoSpaceDE w:val="0"/>
      <w:autoSpaceDN w:val="0"/>
      <w:adjustRightInd w:val="0"/>
      <w:spacing w:after="0" w:line="288" w:lineRule="auto"/>
      <w:textAlignment w:val="center"/>
    </w:pPr>
    <w:rPr>
      <w:rFonts w:ascii="MinionPro-Regular" w:hAnsi="MinionPro-Regular" w:cs="MinionPro-Regular" w:eastAsiaTheme="minorHAnsi"/>
      <w:color w:val="000000"/>
      <w:sz w:val="24"/>
      <w:szCs w:val="24"/>
      <w:lang w:val="en-GB" w:eastAsia="en-US" w:bidi="ar-SA"/>
    </w:rPr>
  </w:style>
  <w:style w:type="paragraph" w:customStyle="1" w:styleId="357">
    <w:name w:val="[Basic Paragraph]"/>
    <w:basedOn w:val="356"/>
    <w:uiPriority w:val="99"/>
  </w:style>
  <w:style w:type="paragraph" w:customStyle="1" w:styleId="358">
    <w:name w:val="Cover title"/>
    <w:basedOn w:val="97"/>
    <w:uiPriority w:val="99"/>
    <w:pPr>
      <w:spacing w:after="120"/>
      <w:ind w:left="7371"/>
    </w:pPr>
    <w:rPr>
      <w:b/>
      <w:bCs/>
      <w:caps w:val="0"/>
      <w:color w:val="FFFFFF" w:themeColor="background1"/>
      <w:sz w:val="36"/>
      <w:szCs w:val="96"/>
      <w14:textFill>
        <w14:solidFill>
          <w14:schemeClr w14:val="bg1"/>
        </w14:solidFill>
      </w14:textFill>
    </w:rPr>
  </w:style>
  <w:style w:type="paragraph" w:customStyle="1" w:styleId="359">
    <w:name w:val="Cover client name"/>
    <w:basedOn w:val="144"/>
    <w:qFormat/>
    <w:uiPriority w:val="99"/>
    <w:pPr>
      <w:spacing w:before="1800"/>
      <w:ind w:left="7371"/>
    </w:pPr>
    <w:rPr>
      <w:b/>
      <w:caps w:val="0"/>
      <w:color w:val="FFFFFF" w:themeColor="background1"/>
      <w:sz w:val="24"/>
      <w:szCs w:val="36"/>
      <w14:textFill>
        <w14:solidFill>
          <w14:schemeClr w14:val="bg1"/>
        </w14:solidFill>
      </w14:textFill>
    </w:rPr>
  </w:style>
  <w:style w:type="paragraph" w:customStyle="1" w:styleId="360">
    <w:name w:val="Cover date"/>
    <w:basedOn w:val="1"/>
    <w:uiPriority w:val="99"/>
    <w:pPr>
      <w:spacing w:after="0"/>
      <w:ind w:left="7371"/>
    </w:pPr>
    <w:rPr>
      <w:color w:val="808DDE"/>
      <w:sz w:val="24"/>
      <w:szCs w:val="36"/>
    </w:rPr>
  </w:style>
  <w:style w:type="character" w:customStyle="1" w:styleId="361">
    <w:name w:val="Mention1"/>
    <w:basedOn w:val="15"/>
    <w:unhideWhenUsed/>
    <w:uiPriority w:val="99"/>
    <w:rPr>
      <w:color w:val="2B579A"/>
      <w:shd w:val="clear" w:color="auto" w:fill="E6E6E6"/>
    </w:rPr>
  </w:style>
  <w:style w:type="character" w:customStyle="1" w:styleId="362">
    <w:name w:val="fontstyle01"/>
    <w:basedOn w:val="15"/>
    <w:uiPriority w:val="0"/>
    <w:rPr>
      <w:rFonts w:hint="default" w:ascii="Calibri" w:hAnsi="Calibri" w:cs="Calibri"/>
      <w:color w:val="000000"/>
      <w:sz w:val="22"/>
      <w:szCs w:val="22"/>
    </w:rPr>
  </w:style>
  <w:style w:type="character" w:customStyle="1" w:styleId="363">
    <w:name w:val="Unresolved Mention1"/>
    <w:basedOn w:val="15"/>
    <w:semiHidden/>
    <w:unhideWhenUsed/>
    <w:uiPriority w:val="99"/>
    <w:rPr>
      <w:color w:val="605E5C"/>
      <w:shd w:val="clear" w:color="auto" w:fill="E1DFDD"/>
    </w:rPr>
  </w:style>
  <w:style w:type="paragraph" w:customStyle="1" w:styleId="364">
    <w:name w:val="Revision"/>
    <w:hidden/>
    <w:semiHidden/>
    <w:uiPriority w:val="99"/>
    <w:pPr>
      <w:spacing w:after="0" w:line="240" w:lineRule="auto"/>
    </w:pPr>
    <w:rPr>
      <w:rFonts w:asciiTheme="minorHAnsi" w:hAnsiTheme="minorHAnsi" w:eastAsiaTheme="minorHAnsi" w:cstheme="minorBidi"/>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5.xml"/><Relationship Id="rId32" Type="http://schemas.openxmlformats.org/officeDocument/2006/relationships/customXml" Target="../customXml/item4.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emf"/><Relationship Id="rId23" Type="http://schemas.openxmlformats.org/officeDocument/2006/relationships/package" Target="embeddings/Microsoft_Visio___1.vsdx"/><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owden Colours">
      <a:dk1>
        <a:srgbClr val="152C46"/>
      </a:dk1>
      <a:lt1>
        <a:sysClr val="window" lastClr="FFFFFF"/>
      </a:lt1>
      <a:dk2>
        <a:srgbClr val="7F7F7F"/>
      </a:dk2>
      <a:lt2>
        <a:srgbClr val="F6F6F6"/>
      </a:lt2>
      <a:accent1>
        <a:srgbClr val="00E09E"/>
      </a:accent1>
      <a:accent2>
        <a:srgbClr val="41807F"/>
      </a:accent2>
      <a:accent3>
        <a:srgbClr val="1E9FD7"/>
      </a:accent3>
      <a:accent4>
        <a:srgbClr val="808DDE"/>
      </a:accent4>
      <a:accent5>
        <a:srgbClr val="ED4D66"/>
      </a:accent5>
      <a:accent6>
        <a:srgbClr val="EEBC58"/>
      </a:accent6>
      <a:hlink>
        <a:srgbClr val="00AFD7"/>
      </a:hlink>
      <a:folHlink>
        <a:srgbClr val="8D4D66"/>
      </a:folHlink>
    </a:clrScheme>
    <a:fontScheme name="JLT_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f14a0a-7b0c-4d49-a462-5a45b1521d95">
      <Terms xmlns="http://schemas.microsoft.com/office/infopath/2007/PartnerControls"/>
    </lcf76f155ced4ddcb4097134ff3c332f>
    <TaxCatchAll xmlns="2cddcd55-3f5b-4be9-8fd2-d6b51e4c6d93" xsi:nil="true"/>
    <Number xmlns="f3f14a0a-7b0c-4d49-a462-5a45b1521d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268C168B204740AA88D8DC078591F5" ma:contentTypeVersion="17" ma:contentTypeDescription="Create a new document." ma:contentTypeScope="" ma:versionID="5378bab1eae85f3dc88e36ffb80e6f92">
  <xsd:schema xmlns:xsd="http://www.w3.org/2001/XMLSchema" xmlns:xs="http://www.w3.org/2001/XMLSchema" xmlns:p="http://schemas.microsoft.com/office/2006/metadata/properties" xmlns:ns2="f3f14a0a-7b0c-4d49-a462-5a45b1521d95" xmlns:ns3="f5bb77be-da34-48a0-9e58-39d870955e11" xmlns:ns4="2cddcd55-3f5b-4be9-8fd2-d6b51e4c6d93" targetNamespace="http://schemas.microsoft.com/office/2006/metadata/properties" ma:root="true" ma:fieldsID="f8069d67d9760ad49b4d55e3d9fd1ea7" ns2:_="" ns3:_="" ns4:_="">
    <xsd:import namespace="f3f14a0a-7b0c-4d49-a462-5a45b1521d95"/>
    <xsd:import namespace="f5bb77be-da34-48a0-9e58-39d870955e11"/>
    <xsd:import namespace="2cddcd55-3f5b-4be9-8fd2-d6b51e4c6d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14a0a-7b0c-4d49-a462-5a45b1521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812feb-4b4f-4a4c-af56-3f48b3b28acc" ma:termSetId="09814cd3-568e-fe90-9814-8d621ff8fb84" ma:anchorId="fba54fb3-c3e1-fe81-a776-ca4b69148c4d" ma:open="true" ma:isKeyword="false">
      <xsd:complexType>
        <xsd:sequence>
          <xsd:element ref="pc:Terms" minOccurs="0" maxOccurs="1"/>
        </xsd:sequence>
      </xsd:complex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5bb77be-da34-48a0-9e58-39d870955e1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ddcd55-3f5b-4be9-8fd2-d6b51e4c6d9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2bb32df-8413-43e1-9d65-f064c64a1adb}" ma:internalName="TaxCatchAll" ma:showField="CatchAllData" ma:web="f5bb77be-da34-48a0-9e58-39d870955e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4EA198-7310-4657-9CB1-50F25F5BE51E}">
  <ds:schemaRefs/>
</ds:datastoreItem>
</file>

<file path=customXml/itemProps3.xml><?xml version="1.0" encoding="utf-8"?>
<ds:datastoreItem xmlns:ds="http://schemas.openxmlformats.org/officeDocument/2006/customXml" ds:itemID="{A9BCD784-BDB0-4FDD-9454-95072EC4C1F0}">
  <ds:schemaRefs/>
</ds:datastoreItem>
</file>

<file path=customXml/itemProps4.xml><?xml version="1.0" encoding="utf-8"?>
<ds:datastoreItem xmlns:ds="http://schemas.openxmlformats.org/officeDocument/2006/customXml" ds:itemID="{113F6148-E7AC-42DD-82E1-5366706F5A64}">
  <ds:schemaRefs/>
</ds:datastoreItem>
</file>

<file path=customXml/itemProps5.xml><?xml version="1.0" encoding="utf-8"?>
<ds:datastoreItem xmlns:ds="http://schemas.openxmlformats.org/officeDocument/2006/customXml" ds:itemID="{10D7AD2B-FCFE-4FFA-B30C-F20EAC597096}">
  <ds:schemaRefs/>
</ds:datastoreItem>
</file>

<file path=docProps/app.xml><?xml version="1.0" encoding="utf-8"?>
<Properties xmlns="http://schemas.openxmlformats.org/officeDocument/2006/extended-properties" xmlns:vt="http://schemas.openxmlformats.org/officeDocument/2006/docPropsVTypes">
  <Template>Normal</Template>
  <Pages>35</Pages>
  <Words>10285</Words>
  <Characters>58628</Characters>
  <Lines>488</Lines>
  <Paragraphs>137</Paragraphs>
  <TotalTime>0</TotalTime>
  <ScaleCrop>false</ScaleCrop>
  <LinksUpToDate>false</LinksUpToDate>
  <CharactersWithSpaces>68776</CharactersWithSpaces>
  <Application>WPS Office_11.2.0.11513_F1E327BC-269C-435d-A152-05C5408002CA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2023-03-28T22:43:00Z</dcterms:created>
  <dc:creator>Kerri-Anne Varkoly</dc:creator>
  <cp:lastModifiedBy>Karen</cp:lastModifiedBy>
  <cp:lastPrinted>2023-03-24T03:10:00Z</cp:lastPrinted>
  <dcterms:modified xsi:type="dcterms:W3CDTF">2023-03-28T23:02:02Z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7.1.2</vt:lpwstr>
  </property>
  <property fmtid="{D5CDD505-2E9C-101B-9397-08002B2CF9AE}" pid="3" name="MS_PathToINIFile">
    <vt:lpwstr>JLT_Report A4.ini</vt:lpwstr>
  </property>
  <property fmtid="{D5CDD505-2E9C-101B-9397-08002B2CF9AE}" pid="4" name="ContentTypeId">
    <vt:lpwstr>0x010100A3268C168B204740AA88D8DC078591F5</vt:lpwstr>
  </property>
  <property fmtid="{D5CDD505-2E9C-101B-9397-08002B2CF9AE}" pid="5" name="MediaServiceImageTags">
    <vt:lpwstr/>
  </property>
  <property fmtid="{D5CDD505-2E9C-101B-9397-08002B2CF9AE}" pid="6" name="KSOProductBuildVer">
    <vt:lpwstr>1033-11.2.0.11513</vt:lpwstr>
  </property>
  <property fmtid="{D5CDD505-2E9C-101B-9397-08002B2CF9AE}" pid="7" name="ICV">
    <vt:lpwstr>89979252285F4173BB8BFE014A2F196B</vt:lpwstr>
  </property>
</Properties>
</file>