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E9" w:rsidRPr="005D157D" w:rsidRDefault="005D157D">
      <w:pPr>
        <w:rPr>
          <w:rFonts w:ascii="Arial" w:hAnsi="Arial" w:cs="Arial"/>
          <w:b/>
          <w:sz w:val="28"/>
          <w:szCs w:val="28"/>
        </w:rPr>
      </w:pPr>
      <w:r>
        <w:rPr>
          <w:rFonts w:ascii="Arial" w:hAnsi="Arial" w:cs="Arial"/>
          <w:b/>
          <w:sz w:val="28"/>
          <w:szCs w:val="28"/>
        </w:rPr>
        <w:t xml:space="preserve">Record of </w:t>
      </w:r>
      <w:r w:rsidR="0085490D" w:rsidRPr="005D157D">
        <w:rPr>
          <w:rFonts w:ascii="Arial" w:hAnsi="Arial" w:cs="Arial"/>
          <w:b/>
          <w:sz w:val="28"/>
          <w:szCs w:val="28"/>
        </w:rPr>
        <w:t xml:space="preserve">Fridge Modification </w:t>
      </w:r>
      <w:r>
        <w:rPr>
          <w:rFonts w:ascii="Arial" w:hAnsi="Arial" w:cs="Arial"/>
          <w:b/>
          <w:sz w:val="28"/>
          <w:szCs w:val="28"/>
        </w:rPr>
        <w:t>for Storage of Flammable Liquids</w:t>
      </w:r>
    </w:p>
    <w:p w:rsidR="0085490D" w:rsidRDefault="0085490D">
      <w:r>
        <w:t>This record is to attest that the refrigerator identified below has been modified by a competent person to eliminate ignition sources as specified in AS/NZS 2243.2 (Safety in Laboratories Part 2: Chemical Aspec</w:t>
      </w:r>
      <w:bookmarkStart w:id="0" w:name="_GoBack"/>
      <w:bookmarkEnd w:id="0"/>
      <w:r>
        <w:t xml:space="preserve">ts), namely; </w:t>
      </w:r>
    </w:p>
    <w:p w:rsidR="0085490D" w:rsidRPr="005D157D" w:rsidRDefault="0085490D">
      <w:pPr>
        <w:rPr>
          <w:i/>
          <w:sz w:val="24"/>
          <w:szCs w:val="24"/>
        </w:rPr>
      </w:pPr>
      <w:r w:rsidRPr="005D157D">
        <w:rPr>
          <w:i/>
          <w:sz w:val="24"/>
          <w:szCs w:val="24"/>
        </w:rPr>
        <w:t>“For a normal domestic refrigerator, removal of ignition sources entails removal of the wiring for the internal light, removal of the switching part of the thermostat from inside the compartment and possibly modification of any automatic defrosting procedure and internal fans, depending on the results of a competent person’s checks for their potential as ignition sources.”</w:t>
      </w:r>
    </w:p>
    <w:p w:rsidR="00791916" w:rsidRPr="008A4ADC" w:rsidRDefault="00791916" w:rsidP="00791916">
      <w:pPr>
        <w:pBdr>
          <w:top w:val="single" w:sz="4" w:space="1" w:color="auto"/>
        </w:pBdr>
        <w:rPr>
          <w:rFonts w:ascii="Arial" w:hAnsi="Arial" w:cs="Arial"/>
          <w:b/>
        </w:rPr>
      </w:pPr>
      <w:r w:rsidRPr="008A4ADC">
        <w:rPr>
          <w:rFonts w:ascii="Arial" w:hAnsi="Arial" w:cs="Arial"/>
          <w:b/>
        </w:rPr>
        <w:t>Fridge Details</w:t>
      </w:r>
    </w:p>
    <w:p w:rsidR="00791916" w:rsidRPr="00021F03" w:rsidRDefault="00791916" w:rsidP="005D157D">
      <w:pPr>
        <w:tabs>
          <w:tab w:val="left" w:pos="2835"/>
          <w:tab w:val="left" w:pos="6237"/>
        </w:tabs>
        <w:rPr>
          <w:b/>
        </w:rPr>
      </w:pPr>
      <w:r w:rsidRPr="00021F03">
        <w:rPr>
          <w:b/>
        </w:rPr>
        <w:t>Make</w:t>
      </w:r>
      <w:r w:rsidR="008A4ADC" w:rsidRPr="00021F03">
        <w:rPr>
          <w:b/>
        </w:rPr>
        <w:t>:</w:t>
      </w:r>
      <w:r w:rsidR="008A4ADC" w:rsidRPr="00021F03">
        <w:rPr>
          <w:b/>
        </w:rPr>
        <w:tab/>
      </w:r>
      <w:r w:rsidRPr="00021F03">
        <w:rPr>
          <w:b/>
        </w:rPr>
        <w:t>Model</w:t>
      </w:r>
      <w:r w:rsidR="008A4ADC" w:rsidRPr="00021F03">
        <w:rPr>
          <w:b/>
        </w:rPr>
        <w:t>:</w:t>
      </w:r>
      <w:r w:rsidR="008A4ADC" w:rsidRPr="00021F03">
        <w:rPr>
          <w:b/>
        </w:rPr>
        <w:tab/>
      </w:r>
      <w:r w:rsidRPr="00021F03">
        <w:rPr>
          <w:b/>
        </w:rPr>
        <w:t>Serial Number</w:t>
      </w:r>
      <w:r w:rsidR="008A4ADC" w:rsidRPr="00021F03">
        <w:rPr>
          <w:b/>
        </w:rPr>
        <w:t>:</w:t>
      </w:r>
    </w:p>
    <w:p w:rsidR="00791916" w:rsidRPr="00BC633C" w:rsidRDefault="00791916">
      <w:pPr>
        <w:rPr>
          <w:b/>
        </w:rPr>
      </w:pPr>
      <w:r w:rsidRPr="00BC633C">
        <w:rPr>
          <w:b/>
        </w:rPr>
        <w:t>Other identification</w:t>
      </w:r>
      <w:r w:rsidR="00BC633C" w:rsidRPr="00BC633C">
        <w:rPr>
          <w:b/>
        </w:rPr>
        <w:t xml:space="preserve"> (O</w:t>
      </w:r>
      <w:r w:rsidR="008A4ADC" w:rsidRPr="00BC633C">
        <w:rPr>
          <w:b/>
        </w:rPr>
        <w:t>ptional)</w:t>
      </w:r>
      <w:r w:rsidRPr="00BC633C">
        <w:rPr>
          <w:b/>
        </w:rPr>
        <w:t>:</w:t>
      </w:r>
      <w:r w:rsidR="008A4ADC" w:rsidRPr="00BC633C">
        <w:rPr>
          <w:b/>
        </w:rPr>
        <w:t xml:space="preserve">  </w:t>
      </w:r>
    </w:p>
    <w:p w:rsidR="00791916" w:rsidRPr="008A4ADC" w:rsidRDefault="00791916" w:rsidP="00791916">
      <w:pPr>
        <w:pBdr>
          <w:top w:val="single" w:sz="4" w:space="1" w:color="auto"/>
        </w:pBdr>
        <w:rPr>
          <w:rFonts w:ascii="Arial" w:hAnsi="Arial" w:cs="Arial"/>
          <w:b/>
        </w:rPr>
      </w:pPr>
      <w:r w:rsidRPr="008A4ADC">
        <w:rPr>
          <w:rFonts w:ascii="Arial" w:hAnsi="Arial" w:cs="Arial"/>
          <w:b/>
        </w:rPr>
        <w:t>Modification Details</w:t>
      </w:r>
    </w:p>
    <w:tbl>
      <w:tblPr>
        <w:tblStyle w:val="TableGrid"/>
        <w:tblW w:w="0" w:type="auto"/>
        <w:tblLook w:val="04A0" w:firstRow="1" w:lastRow="0" w:firstColumn="1" w:lastColumn="0" w:noHBand="0" w:noVBand="1"/>
      </w:tblPr>
      <w:tblGrid>
        <w:gridCol w:w="9325"/>
        <w:gridCol w:w="565"/>
        <w:gridCol w:w="566"/>
      </w:tblGrid>
      <w:tr w:rsidR="00791916" w:rsidTr="00BC633C">
        <w:tc>
          <w:tcPr>
            <w:tcW w:w="9464" w:type="dxa"/>
            <w:shd w:val="clear" w:color="auto" w:fill="BFBFBF" w:themeFill="background1" w:themeFillShade="BF"/>
          </w:tcPr>
          <w:p w:rsidR="00791916" w:rsidRPr="00021F03" w:rsidRDefault="00791916">
            <w:pPr>
              <w:rPr>
                <w:b/>
              </w:rPr>
            </w:pPr>
            <w:r w:rsidRPr="00021F03">
              <w:rPr>
                <w:b/>
              </w:rPr>
              <w:t>Modification</w:t>
            </w:r>
          </w:p>
        </w:tc>
        <w:tc>
          <w:tcPr>
            <w:tcW w:w="567" w:type="dxa"/>
            <w:shd w:val="clear" w:color="auto" w:fill="BFBFBF" w:themeFill="background1" w:themeFillShade="BF"/>
          </w:tcPr>
          <w:p w:rsidR="00791916" w:rsidRPr="00021F03" w:rsidRDefault="00791916">
            <w:pPr>
              <w:rPr>
                <w:b/>
              </w:rPr>
            </w:pPr>
            <w:r w:rsidRPr="00021F03">
              <w:rPr>
                <w:b/>
              </w:rPr>
              <w:t>No</w:t>
            </w:r>
          </w:p>
        </w:tc>
        <w:tc>
          <w:tcPr>
            <w:tcW w:w="567" w:type="dxa"/>
            <w:shd w:val="clear" w:color="auto" w:fill="BFBFBF" w:themeFill="background1" w:themeFillShade="BF"/>
          </w:tcPr>
          <w:p w:rsidR="00791916" w:rsidRPr="00021F03" w:rsidRDefault="00791916">
            <w:pPr>
              <w:rPr>
                <w:b/>
              </w:rPr>
            </w:pPr>
            <w:r w:rsidRPr="00021F03">
              <w:rPr>
                <w:b/>
              </w:rPr>
              <w:t>Yes</w:t>
            </w:r>
          </w:p>
        </w:tc>
      </w:tr>
      <w:tr w:rsidR="00791916" w:rsidTr="00021F03">
        <w:tc>
          <w:tcPr>
            <w:tcW w:w="9464" w:type="dxa"/>
          </w:tcPr>
          <w:p w:rsidR="00B57E2E" w:rsidRPr="00304521" w:rsidRDefault="00791916" w:rsidP="00B57E2E">
            <w:pPr>
              <w:rPr>
                <w:b/>
                <w:sz w:val="24"/>
                <w:szCs w:val="24"/>
              </w:rPr>
            </w:pPr>
            <w:r w:rsidRPr="00304521">
              <w:rPr>
                <w:b/>
                <w:sz w:val="24"/>
                <w:szCs w:val="24"/>
              </w:rPr>
              <w:t xml:space="preserve">Has wiring for </w:t>
            </w:r>
            <w:r w:rsidR="00BC633C" w:rsidRPr="00304521">
              <w:rPr>
                <w:b/>
                <w:sz w:val="24"/>
                <w:szCs w:val="24"/>
              </w:rPr>
              <w:t>any</w:t>
            </w:r>
            <w:r w:rsidRPr="00304521">
              <w:rPr>
                <w:b/>
                <w:sz w:val="24"/>
                <w:szCs w:val="24"/>
              </w:rPr>
              <w:t xml:space="preserve"> internal light</w:t>
            </w:r>
            <w:r w:rsidR="00BC633C" w:rsidRPr="00304521">
              <w:rPr>
                <w:b/>
                <w:sz w:val="24"/>
                <w:szCs w:val="24"/>
              </w:rPr>
              <w:t>(s)</w:t>
            </w:r>
            <w:r w:rsidRPr="00304521">
              <w:rPr>
                <w:b/>
                <w:sz w:val="24"/>
                <w:szCs w:val="24"/>
              </w:rPr>
              <w:t xml:space="preserve"> been removed</w:t>
            </w:r>
            <w:r w:rsidR="008A4ADC" w:rsidRPr="00304521">
              <w:rPr>
                <w:b/>
                <w:sz w:val="24"/>
                <w:szCs w:val="24"/>
              </w:rPr>
              <w:t xml:space="preserve">?  </w:t>
            </w:r>
          </w:p>
          <w:p w:rsidR="008A4ADC" w:rsidRPr="00304521" w:rsidRDefault="008A4ADC" w:rsidP="00B57E2E">
            <w:pPr>
              <w:rPr>
                <w:b/>
                <w:sz w:val="24"/>
                <w:szCs w:val="24"/>
              </w:rPr>
            </w:pPr>
          </w:p>
        </w:tc>
        <w:tc>
          <w:tcPr>
            <w:tcW w:w="567" w:type="dxa"/>
          </w:tcPr>
          <w:p w:rsidR="00791916" w:rsidRDefault="00791916"/>
        </w:tc>
        <w:tc>
          <w:tcPr>
            <w:tcW w:w="567" w:type="dxa"/>
          </w:tcPr>
          <w:p w:rsidR="00791916" w:rsidRDefault="00791916"/>
        </w:tc>
      </w:tr>
      <w:tr w:rsidR="00791916" w:rsidTr="00021F03">
        <w:tc>
          <w:tcPr>
            <w:tcW w:w="9464" w:type="dxa"/>
          </w:tcPr>
          <w:p w:rsidR="00791916" w:rsidRPr="00304521" w:rsidRDefault="00B57E2E">
            <w:pPr>
              <w:rPr>
                <w:b/>
                <w:sz w:val="24"/>
                <w:szCs w:val="24"/>
              </w:rPr>
            </w:pPr>
            <w:r w:rsidRPr="00304521">
              <w:rPr>
                <w:b/>
                <w:sz w:val="24"/>
                <w:szCs w:val="24"/>
              </w:rPr>
              <w:t>Has the switching part of the thermostat been removed from inside the compartment</w:t>
            </w:r>
            <w:r w:rsidR="008A4ADC" w:rsidRPr="00304521">
              <w:rPr>
                <w:b/>
                <w:sz w:val="24"/>
                <w:szCs w:val="24"/>
              </w:rPr>
              <w:t>?</w:t>
            </w:r>
          </w:p>
          <w:p w:rsidR="008A4ADC" w:rsidRPr="00304521" w:rsidRDefault="008A4ADC">
            <w:pPr>
              <w:rPr>
                <w:b/>
                <w:sz w:val="24"/>
                <w:szCs w:val="24"/>
              </w:rPr>
            </w:pPr>
          </w:p>
        </w:tc>
        <w:tc>
          <w:tcPr>
            <w:tcW w:w="567" w:type="dxa"/>
          </w:tcPr>
          <w:p w:rsidR="00791916" w:rsidRDefault="00791916"/>
        </w:tc>
        <w:tc>
          <w:tcPr>
            <w:tcW w:w="567" w:type="dxa"/>
          </w:tcPr>
          <w:p w:rsidR="00791916" w:rsidRDefault="00791916"/>
        </w:tc>
      </w:tr>
      <w:tr w:rsidR="00304521" w:rsidTr="00304521">
        <w:trPr>
          <w:trHeight w:val="893"/>
        </w:trPr>
        <w:tc>
          <w:tcPr>
            <w:tcW w:w="9464" w:type="dxa"/>
          </w:tcPr>
          <w:p w:rsidR="00304521" w:rsidRPr="00304521" w:rsidRDefault="00304521" w:rsidP="00304521">
            <w:pPr>
              <w:rPr>
                <w:b/>
                <w:sz w:val="24"/>
                <w:szCs w:val="24"/>
              </w:rPr>
            </w:pPr>
            <w:r w:rsidRPr="00304521">
              <w:rPr>
                <w:b/>
                <w:sz w:val="24"/>
                <w:szCs w:val="24"/>
              </w:rPr>
              <w:t>Has the interior of the fridge been checked for any other potential sources of ignition? (</w:t>
            </w:r>
            <w:r w:rsidRPr="00304521">
              <w:rPr>
                <w:b/>
                <w:i/>
                <w:sz w:val="24"/>
                <w:szCs w:val="24"/>
              </w:rPr>
              <w:t>E.g. fan motors or switching mechanisms associated with automatic defrosting or humidity control processes</w:t>
            </w:r>
            <w:r w:rsidRPr="00304521">
              <w:rPr>
                <w:b/>
                <w:sz w:val="24"/>
                <w:szCs w:val="24"/>
              </w:rPr>
              <w:t>)</w:t>
            </w:r>
          </w:p>
        </w:tc>
        <w:tc>
          <w:tcPr>
            <w:tcW w:w="567" w:type="dxa"/>
          </w:tcPr>
          <w:p w:rsidR="00304521" w:rsidRDefault="00304521"/>
        </w:tc>
        <w:tc>
          <w:tcPr>
            <w:tcW w:w="567" w:type="dxa"/>
          </w:tcPr>
          <w:p w:rsidR="00304521" w:rsidRDefault="00304521"/>
        </w:tc>
      </w:tr>
      <w:tr w:rsidR="00304521" w:rsidTr="00021F03">
        <w:trPr>
          <w:trHeight w:val="1614"/>
        </w:trPr>
        <w:tc>
          <w:tcPr>
            <w:tcW w:w="9464" w:type="dxa"/>
          </w:tcPr>
          <w:p w:rsidR="00304521" w:rsidRPr="00304521" w:rsidRDefault="00304521" w:rsidP="00304521">
            <w:pPr>
              <w:rPr>
                <w:b/>
                <w:sz w:val="24"/>
                <w:szCs w:val="24"/>
              </w:rPr>
            </w:pPr>
            <w:r w:rsidRPr="00304521">
              <w:rPr>
                <w:b/>
                <w:sz w:val="24"/>
                <w:szCs w:val="24"/>
              </w:rPr>
              <w:t xml:space="preserve">Were any other potential sources </w:t>
            </w:r>
            <w:r>
              <w:rPr>
                <w:b/>
                <w:sz w:val="24"/>
                <w:szCs w:val="24"/>
              </w:rPr>
              <w:t>of ignition</w:t>
            </w:r>
            <w:r w:rsidRPr="00304521">
              <w:rPr>
                <w:b/>
                <w:sz w:val="24"/>
                <w:szCs w:val="24"/>
              </w:rPr>
              <w:t xml:space="preserve"> identified and </w:t>
            </w:r>
            <w:r w:rsidR="005D157D">
              <w:rPr>
                <w:b/>
                <w:sz w:val="24"/>
                <w:szCs w:val="24"/>
              </w:rPr>
              <w:t>eliminated</w:t>
            </w:r>
            <w:r w:rsidRPr="00304521">
              <w:rPr>
                <w:b/>
                <w:sz w:val="24"/>
                <w:szCs w:val="24"/>
              </w:rPr>
              <w:t xml:space="preserve">? </w:t>
            </w:r>
          </w:p>
          <w:p w:rsidR="00304521" w:rsidRPr="000948DF" w:rsidRDefault="000948DF" w:rsidP="00304521">
            <w:pPr>
              <w:rPr>
                <w:b/>
                <w:i/>
                <w:sz w:val="24"/>
                <w:szCs w:val="24"/>
              </w:rPr>
            </w:pPr>
            <w:r w:rsidRPr="000948DF">
              <w:rPr>
                <w:b/>
                <w:i/>
                <w:sz w:val="24"/>
                <w:szCs w:val="24"/>
              </w:rPr>
              <w:t xml:space="preserve">If Yes, please detail any </w:t>
            </w:r>
            <w:r w:rsidR="00304521" w:rsidRPr="000948DF">
              <w:rPr>
                <w:b/>
                <w:i/>
                <w:sz w:val="24"/>
                <w:szCs w:val="24"/>
              </w:rPr>
              <w:t xml:space="preserve">sources of ignition </w:t>
            </w:r>
            <w:r w:rsidRPr="000948DF">
              <w:rPr>
                <w:b/>
                <w:i/>
                <w:sz w:val="24"/>
                <w:szCs w:val="24"/>
              </w:rPr>
              <w:t xml:space="preserve">that </w:t>
            </w:r>
            <w:r w:rsidR="00304521" w:rsidRPr="000948DF">
              <w:rPr>
                <w:b/>
                <w:i/>
                <w:sz w:val="24"/>
                <w:szCs w:val="24"/>
              </w:rPr>
              <w:t xml:space="preserve">were identified </w:t>
            </w:r>
            <w:r w:rsidRPr="000948DF">
              <w:rPr>
                <w:b/>
                <w:i/>
                <w:sz w:val="24"/>
                <w:szCs w:val="24"/>
              </w:rPr>
              <w:t>and how these were eliminated</w:t>
            </w:r>
            <w:r w:rsidR="005D157D">
              <w:rPr>
                <w:b/>
                <w:i/>
                <w:sz w:val="24"/>
                <w:szCs w:val="24"/>
              </w:rPr>
              <w:t xml:space="preserve"> (note: additional space provided over page if required)</w:t>
            </w:r>
            <w:r w:rsidRPr="000948DF">
              <w:rPr>
                <w:b/>
                <w:i/>
                <w:sz w:val="24"/>
                <w:szCs w:val="24"/>
              </w:rPr>
              <w:t>:</w:t>
            </w:r>
          </w:p>
          <w:p w:rsidR="00304521" w:rsidRDefault="00304521">
            <w:pPr>
              <w:rPr>
                <w:b/>
                <w:sz w:val="24"/>
                <w:szCs w:val="24"/>
              </w:rPr>
            </w:pPr>
          </w:p>
          <w:p w:rsidR="000948DF" w:rsidRDefault="000948DF">
            <w:pPr>
              <w:rPr>
                <w:b/>
                <w:sz w:val="24"/>
                <w:szCs w:val="24"/>
              </w:rPr>
            </w:pPr>
          </w:p>
          <w:p w:rsidR="000948DF" w:rsidRDefault="000948DF">
            <w:pPr>
              <w:rPr>
                <w:b/>
                <w:sz w:val="24"/>
                <w:szCs w:val="24"/>
              </w:rPr>
            </w:pPr>
          </w:p>
          <w:p w:rsidR="000948DF" w:rsidRDefault="000948DF">
            <w:pPr>
              <w:rPr>
                <w:b/>
                <w:sz w:val="24"/>
                <w:szCs w:val="24"/>
              </w:rPr>
            </w:pPr>
          </w:p>
          <w:p w:rsidR="000948DF" w:rsidRDefault="000948DF">
            <w:pPr>
              <w:rPr>
                <w:b/>
                <w:sz w:val="24"/>
                <w:szCs w:val="24"/>
              </w:rPr>
            </w:pPr>
          </w:p>
          <w:p w:rsidR="005D157D" w:rsidRDefault="005D157D">
            <w:pPr>
              <w:rPr>
                <w:b/>
                <w:sz w:val="24"/>
                <w:szCs w:val="24"/>
              </w:rPr>
            </w:pPr>
          </w:p>
          <w:p w:rsidR="005D157D" w:rsidRDefault="005D157D">
            <w:pPr>
              <w:rPr>
                <w:b/>
                <w:sz w:val="24"/>
                <w:szCs w:val="24"/>
              </w:rPr>
            </w:pPr>
          </w:p>
          <w:p w:rsidR="005D157D" w:rsidRDefault="005D157D">
            <w:pPr>
              <w:rPr>
                <w:b/>
                <w:sz w:val="24"/>
                <w:szCs w:val="24"/>
              </w:rPr>
            </w:pPr>
          </w:p>
          <w:p w:rsidR="005D157D" w:rsidRDefault="005D157D">
            <w:pPr>
              <w:rPr>
                <w:b/>
                <w:sz w:val="24"/>
                <w:szCs w:val="24"/>
              </w:rPr>
            </w:pPr>
          </w:p>
          <w:p w:rsidR="005D157D" w:rsidRDefault="005D157D">
            <w:pPr>
              <w:rPr>
                <w:b/>
                <w:sz w:val="24"/>
                <w:szCs w:val="24"/>
              </w:rPr>
            </w:pPr>
          </w:p>
          <w:p w:rsidR="005D157D" w:rsidRPr="00304521" w:rsidRDefault="005D157D">
            <w:pPr>
              <w:rPr>
                <w:b/>
                <w:sz w:val="24"/>
                <w:szCs w:val="24"/>
              </w:rPr>
            </w:pPr>
          </w:p>
        </w:tc>
        <w:tc>
          <w:tcPr>
            <w:tcW w:w="567" w:type="dxa"/>
          </w:tcPr>
          <w:p w:rsidR="00304521" w:rsidRDefault="00304521"/>
        </w:tc>
        <w:tc>
          <w:tcPr>
            <w:tcW w:w="567" w:type="dxa"/>
          </w:tcPr>
          <w:p w:rsidR="00304521" w:rsidRDefault="00304521"/>
        </w:tc>
      </w:tr>
    </w:tbl>
    <w:p w:rsidR="00791916" w:rsidRDefault="00791916" w:rsidP="000948DF">
      <w:pPr>
        <w:spacing w:after="0"/>
      </w:pPr>
    </w:p>
    <w:p w:rsidR="00791916" w:rsidRPr="00021F03" w:rsidRDefault="00791916" w:rsidP="005D157D">
      <w:pPr>
        <w:pBdr>
          <w:top w:val="single" w:sz="4" w:space="1" w:color="auto"/>
        </w:pBdr>
        <w:spacing w:after="0"/>
        <w:rPr>
          <w:rFonts w:ascii="Arial" w:hAnsi="Arial" w:cs="Arial"/>
          <w:b/>
        </w:rPr>
      </w:pPr>
      <w:r w:rsidRPr="00021F03">
        <w:rPr>
          <w:rFonts w:ascii="Arial" w:hAnsi="Arial" w:cs="Arial"/>
          <w:b/>
        </w:rPr>
        <w:t xml:space="preserve">Competent </w:t>
      </w:r>
      <w:r w:rsidR="00021F03">
        <w:rPr>
          <w:rFonts w:ascii="Arial" w:hAnsi="Arial" w:cs="Arial"/>
          <w:b/>
        </w:rPr>
        <w:t>Pe</w:t>
      </w:r>
      <w:r w:rsidRPr="00021F03">
        <w:rPr>
          <w:rFonts w:ascii="Arial" w:hAnsi="Arial" w:cs="Arial"/>
          <w:b/>
        </w:rPr>
        <w:t xml:space="preserve">rson </w:t>
      </w:r>
      <w:r w:rsidR="00021F03">
        <w:rPr>
          <w:rFonts w:ascii="Arial" w:hAnsi="Arial" w:cs="Arial"/>
          <w:b/>
        </w:rPr>
        <w:t>Declaration</w:t>
      </w:r>
      <w:r w:rsidR="005D157D">
        <w:rPr>
          <w:rFonts w:ascii="Arial" w:hAnsi="Arial" w:cs="Arial"/>
          <w:b/>
        </w:rPr>
        <w:t>:</w:t>
      </w:r>
    </w:p>
    <w:p w:rsidR="008A4ADC" w:rsidRPr="00021F03" w:rsidRDefault="008A4ADC" w:rsidP="005D157D">
      <w:pPr>
        <w:spacing w:after="0"/>
        <w:rPr>
          <w:i/>
        </w:rPr>
      </w:pPr>
      <w:r w:rsidRPr="00021F03">
        <w:rPr>
          <w:i/>
        </w:rPr>
        <w:t xml:space="preserve">I confirm that I have modified this refrigerator to remove potential sources of ignition from the interior compartment </w:t>
      </w:r>
      <w:r w:rsidR="00021F03">
        <w:rPr>
          <w:i/>
        </w:rPr>
        <w:t>as described in</w:t>
      </w:r>
      <w:r w:rsidR="00021F03" w:rsidRPr="00021F03">
        <w:rPr>
          <w:i/>
        </w:rPr>
        <w:t xml:space="preserve"> AS/NZS 2243.2.</w:t>
      </w:r>
    </w:p>
    <w:tbl>
      <w:tblPr>
        <w:tblStyle w:val="TableGrid"/>
        <w:tblW w:w="0" w:type="auto"/>
        <w:tblLook w:val="04A0" w:firstRow="1" w:lastRow="0" w:firstColumn="1" w:lastColumn="0" w:noHBand="0" w:noVBand="1"/>
      </w:tblPr>
      <w:tblGrid>
        <w:gridCol w:w="4399"/>
        <w:gridCol w:w="4440"/>
        <w:gridCol w:w="1617"/>
      </w:tblGrid>
      <w:tr w:rsidR="000948DF" w:rsidTr="000948DF">
        <w:tc>
          <w:tcPr>
            <w:tcW w:w="4503" w:type="dxa"/>
          </w:tcPr>
          <w:p w:rsidR="000948DF" w:rsidRPr="00021F03" w:rsidRDefault="000948DF" w:rsidP="000948DF">
            <w:pPr>
              <w:rPr>
                <w:b/>
              </w:rPr>
            </w:pPr>
            <w:r w:rsidRPr="00021F03">
              <w:rPr>
                <w:b/>
              </w:rPr>
              <w:t>Name:</w:t>
            </w:r>
          </w:p>
        </w:tc>
        <w:tc>
          <w:tcPr>
            <w:tcW w:w="4536" w:type="dxa"/>
          </w:tcPr>
          <w:p w:rsidR="000948DF" w:rsidRPr="00021F03" w:rsidRDefault="000948DF" w:rsidP="000948DF">
            <w:pPr>
              <w:rPr>
                <w:b/>
              </w:rPr>
            </w:pPr>
            <w:r w:rsidRPr="00021F03">
              <w:rPr>
                <w:b/>
              </w:rPr>
              <w:t>Signature:</w:t>
            </w:r>
          </w:p>
        </w:tc>
        <w:tc>
          <w:tcPr>
            <w:tcW w:w="1643" w:type="dxa"/>
          </w:tcPr>
          <w:p w:rsidR="000948DF" w:rsidRPr="00021F03" w:rsidRDefault="000948DF" w:rsidP="000948DF">
            <w:pPr>
              <w:rPr>
                <w:b/>
              </w:rPr>
            </w:pPr>
            <w:r w:rsidRPr="00021F03">
              <w:rPr>
                <w:b/>
              </w:rPr>
              <w:t>Date:</w:t>
            </w:r>
          </w:p>
          <w:p w:rsidR="000948DF" w:rsidRDefault="000948DF">
            <w:pPr>
              <w:rPr>
                <w:b/>
              </w:rPr>
            </w:pPr>
          </w:p>
        </w:tc>
      </w:tr>
      <w:tr w:rsidR="000948DF" w:rsidTr="000948DF">
        <w:tc>
          <w:tcPr>
            <w:tcW w:w="10682" w:type="dxa"/>
            <w:gridSpan w:val="3"/>
          </w:tcPr>
          <w:p w:rsidR="000948DF" w:rsidRDefault="000948DF" w:rsidP="000948DF">
            <w:pPr>
              <w:rPr>
                <w:b/>
              </w:rPr>
            </w:pPr>
            <w:r>
              <w:rPr>
                <w:b/>
              </w:rPr>
              <w:t>Electrical Qualification(s):</w:t>
            </w:r>
          </w:p>
          <w:p w:rsidR="000948DF" w:rsidRPr="00021F03" w:rsidRDefault="000948DF" w:rsidP="000948DF">
            <w:pPr>
              <w:rPr>
                <w:b/>
              </w:rPr>
            </w:pPr>
          </w:p>
          <w:p w:rsidR="000948DF" w:rsidRDefault="000948DF">
            <w:pPr>
              <w:rPr>
                <w:b/>
              </w:rPr>
            </w:pPr>
          </w:p>
        </w:tc>
      </w:tr>
    </w:tbl>
    <w:p w:rsidR="000948DF" w:rsidRDefault="000948DF">
      <w:pPr>
        <w:rPr>
          <w:b/>
        </w:rPr>
      </w:pPr>
    </w:p>
    <w:p w:rsidR="005D157D" w:rsidRDefault="005D157D" w:rsidP="005D157D">
      <w:pPr>
        <w:pBdr>
          <w:top w:val="single" w:sz="4" w:space="1" w:color="auto"/>
        </w:pBdr>
        <w:rPr>
          <w:rFonts w:ascii="Arial" w:hAnsi="Arial" w:cs="Arial"/>
          <w:b/>
        </w:rPr>
      </w:pPr>
      <w:r w:rsidRPr="005D157D">
        <w:rPr>
          <w:rFonts w:ascii="Arial" w:hAnsi="Arial" w:cs="Arial"/>
          <w:b/>
        </w:rPr>
        <w:lastRenderedPageBreak/>
        <w:t>Additional comments/details:</w:t>
      </w:r>
    </w:p>
    <w:p w:rsidR="005D157D" w:rsidRPr="005D157D" w:rsidRDefault="005D157D" w:rsidP="005D157D">
      <w:pPr>
        <w:pBdr>
          <w:top w:val="single" w:sz="4" w:space="1" w:color="auto"/>
        </w:pBdr>
        <w:rPr>
          <w:rFonts w:ascii="Arial" w:hAnsi="Arial" w:cs="Arial"/>
          <w:b/>
        </w:rPr>
      </w:pPr>
    </w:p>
    <w:sectPr w:rsidR="005D157D" w:rsidRPr="005D157D" w:rsidSect="008A4AD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7D" w:rsidRDefault="005D157D" w:rsidP="005D157D">
      <w:pPr>
        <w:spacing w:after="0" w:line="240" w:lineRule="auto"/>
      </w:pPr>
      <w:r>
        <w:separator/>
      </w:r>
    </w:p>
  </w:endnote>
  <w:endnote w:type="continuationSeparator" w:id="0">
    <w:p w:rsidR="005D157D" w:rsidRDefault="005D157D" w:rsidP="005D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56360"/>
      <w:docPartObj>
        <w:docPartGallery w:val="Page Numbers (Bottom of Page)"/>
        <w:docPartUnique/>
      </w:docPartObj>
    </w:sdtPr>
    <w:sdtEndPr/>
    <w:sdtContent>
      <w:sdt>
        <w:sdtPr>
          <w:id w:val="1728636285"/>
          <w:docPartObj>
            <w:docPartGallery w:val="Page Numbers (Top of Page)"/>
            <w:docPartUnique/>
          </w:docPartObj>
        </w:sdtPr>
        <w:sdtEndPr/>
        <w:sdtContent>
          <w:p w:rsidR="005D157D" w:rsidRDefault="005D15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42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2DE">
              <w:rPr>
                <w:b/>
                <w:bCs/>
                <w:noProof/>
              </w:rPr>
              <w:t>2</w:t>
            </w:r>
            <w:r>
              <w:rPr>
                <w:b/>
                <w:bCs/>
                <w:sz w:val="24"/>
                <w:szCs w:val="24"/>
              </w:rPr>
              <w:fldChar w:fldCharType="end"/>
            </w:r>
          </w:p>
        </w:sdtContent>
      </w:sdt>
    </w:sdtContent>
  </w:sdt>
  <w:p w:rsidR="005D157D" w:rsidRDefault="005D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7D" w:rsidRDefault="005D157D" w:rsidP="005D157D">
      <w:pPr>
        <w:spacing w:after="0" w:line="240" w:lineRule="auto"/>
      </w:pPr>
      <w:r>
        <w:separator/>
      </w:r>
    </w:p>
  </w:footnote>
  <w:footnote w:type="continuationSeparator" w:id="0">
    <w:p w:rsidR="005D157D" w:rsidRDefault="005D157D" w:rsidP="005D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83" w:rsidRPr="00196583" w:rsidRDefault="00CD42DE" w:rsidP="00196583">
    <w:pPr>
      <w:pStyle w:val="Header"/>
      <w:jc w:val="right"/>
      <w:rPr>
        <w:i/>
      </w:rPr>
    </w:pPr>
    <w:r>
      <w:rPr>
        <w:i/>
      </w:rPr>
      <w:t>UOOLAB7-2015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0D"/>
    <w:rsid w:val="00021F03"/>
    <w:rsid w:val="000948DF"/>
    <w:rsid w:val="000C1ECA"/>
    <w:rsid w:val="00196583"/>
    <w:rsid w:val="002D700A"/>
    <w:rsid w:val="00304521"/>
    <w:rsid w:val="005D157D"/>
    <w:rsid w:val="00791916"/>
    <w:rsid w:val="0085490D"/>
    <w:rsid w:val="008A4ADC"/>
    <w:rsid w:val="00B57E2E"/>
    <w:rsid w:val="00BC633C"/>
    <w:rsid w:val="00CD42DE"/>
    <w:rsid w:val="00FB7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6E2BC-3AE4-4176-99A2-EB65E959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8DF"/>
    <w:rPr>
      <w:color w:val="0000FF" w:themeColor="hyperlink"/>
      <w:u w:val="single"/>
    </w:rPr>
  </w:style>
  <w:style w:type="paragraph" w:styleId="Header">
    <w:name w:val="header"/>
    <w:basedOn w:val="Normal"/>
    <w:link w:val="HeaderChar"/>
    <w:uiPriority w:val="99"/>
    <w:unhideWhenUsed/>
    <w:rsid w:val="005D1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57D"/>
  </w:style>
  <w:style w:type="paragraph" w:styleId="Footer">
    <w:name w:val="footer"/>
    <w:basedOn w:val="Normal"/>
    <w:link w:val="FooterChar"/>
    <w:uiPriority w:val="99"/>
    <w:unhideWhenUsed/>
    <w:rsid w:val="005D1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McLaren</dc:creator>
  <cp:lastModifiedBy>Robert McLaren</cp:lastModifiedBy>
  <cp:revision>2</cp:revision>
  <dcterms:created xsi:type="dcterms:W3CDTF">2015-10-14T01:24:00Z</dcterms:created>
  <dcterms:modified xsi:type="dcterms:W3CDTF">2015-10-14T01:24:00Z</dcterms:modified>
</cp:coreProperties>
</file>