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C64C" w14:textId="77777777" w:rsidR="00526FDE" w:rsidRPr="006001D8" w:rsidRDefault="00EA0BDB" w:rsidP="00ED30EE">
      <w:pPr>
        <w:jc w:val="both"/>
        <w:rPr>
          <w:rFonts w:asciiTheme="minorHAnsi" w:hAnsiTheme="minorHAnsi" w:cstheme="minorHAnsi"/>
          <w:b/>
          <w:sz w:val="28"/>
          <w:szCs w:val="28"/>
        </w:rPr>
      </w:pPr>
      <w:r w:rsidRPr="006001D8">
        <w:rPr>
          <w:rFonts w:asciiTheme="minorHAnsi" w:hAnsiTheme="minorHAnsi" w:cstheme="minorHAnsi"/>
          <w:b/>
          <w:noProof/>
          <w:sz w:val="28"/>
          <w:szCs w:val="28"/>
          <w:lang w:eastAsia="en-NZ"/>
        </w:rPr>
        <mc:AlternateContent>
          <mc:Choice Requires="wps">
            <w:drawing>
              <wp:anchor distT="0" distB="0" distL="114300" distR="114300" simplePos="0" relativeHeight="251658240" behindDoc="0" locked="0" layoutInCell="1" allowOverlap="1" wp14:anchorId="669625B9" wp14:editId="2932107C">
                <wp:simplePos x="0" y="0"/>
                <wp:positionH relativeFrom="column">
                  <wp:posOffset>-85725</wp:posOffset>
                </wp:positionH>
                <wp:positionV relativeFrom="paragraph">
                  <wp:posOffset>272415</wp:posOffset>
                </wp:positionV>
                <wp:extent cx="4229100" cy="800100"/>
                <wp:effectExtent l="0" t="0" r="0" b="381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A9B2D" w14:textId="77777777" w:rsidR="005C3BC3" w:rsidRDefault="005C3BC3">
                            <w:pPr>
                              <w:rPr>
                                <w:rFonts w:asciiTheme="minorHAnsi" w:hAnsiTheme="minorHAnsi" w:cstheme="minorHAnsi"/>
                                <w:b/>
                                <w:smallCaps/>
                                <w:color w:val="FFFFFF"/>
                                <w:sz w:val="28"/>
                                <w:szCs w:val="28"/>
                              </w:rPr>
                            </w:pPr>
                            <w:r>
                              <w:rPr>
                                <w:rFonts w:asciiTheme="minorHAnsi" w:hAnsiTheme="minorHAnsi" w:cstheme="minorHAnsi"/>
                                <w:b/>
                                <w:smallCaps/>
                                <w:color w:val="FFFFFF"/>
                                <w:sz w:val="28"/>
                                <w:szCs w:val="28"/>
                              </w:rPr>
                              <w:t>Administrative</w:t>
                            </w:r>
                            <w:r w:rsidRPr="000719B7">
                              <w:rPr>
                                <w:rFonts w:asciiTheme="minorHAnsi" w:hAnsiTheme="minorHAnsi" w:cstheme="minorHAnsi"/>
                                <w:b/>
                                <w:smallCaps/>
                                <w:color w:val="FFFFFF"/>
                                <w:sz w:val="28"/>
                                <w:szCs w:val="28"/>
                              </w:rPr>
                              <w:t xml:space="preserve"> </w:t>
                            </w:r>
                            <w:r w:rsidR="00526FDE" w:rsidRPr="000719B7">
                              <w:rPr>
                                <w:rFonts w:asciiTheme="minorHAnsi" w:hAnsiTheme="minorHAnsi" w:cstheme="minorHAnsi"/>
                                <w:b/>
                                <w:smallCaps/>
                                <w:color w:val="FFFFFF"/>
                                <w:sz w:val="28"/>
                                <w:szCs w:val="28"/>
                              </w:rPr>
                              <w:t>Reviews</w:t>
                            </w:r>
                          </w:p>
                          <w:p w14:paraId="10C94E1C" w14:textId="41AB3AC9" w:rsidR="00526FDE" w:rsidRPr="000719B7" w:rsidRDefault="00526FDE">
                            <w:pPr>
                              <w:rPr>
                                <w:rFonts w:asciiTheme="minorHAnsi" w:hAnsiTheme="minorHAnsi" w:cstheme="minorHAnsi"/>
                                <w:b/>
                                <w:smallCaps/>
                                <w:color w:val="FFFFFF"/>
                                <w:sz w:val="28"/>
                                <w:szCs w:val="28"/>
                              </w:rPr>
                            </w:pPr>
                            <w:r w:rsidRPr="000719B7">
                              <w:rPr>
                                <w:rFonts w:asciiTheme="minorHAnsi" w:hAnsiTheme="minorHAnsi" w:cstheme="minorHAnsi"/>
                                <w:b/>
                                <w:smallCaps/>
                                <w:color w:val="FFFFFF"/>
                                <w:sz w:val="28"/>
                                <w:szCs w:val="28"/>
                              </w:rPr>
                              <w:t xml:space="preserve">Framework </w:t>
                            </w:r>
                            <w:r w:rsidR="00FB17E8">
                              <w:rPr>
                                <w:rFonts w:asciiTheme="minorHAnsi" w:hAnsiTheme="minorHAnsi" w:cstheme="minorHAnsi"/>
                                <w:b/>
                                <w:smallCaps/>
                                <w:color w:val="FFFFFF"/>
                                <w:sz w:val="28"/>
                                <w:szCs w:val="28"/>
                              </w:rPr>
                              <w:t>and Terms of Reference</w:t>
                            </w:r>
                          </w:p>
                          <w:p w14:paraId="15C6476A" w14:textId="7586B0C4" w:rsidR="00526FDE" w:rsidRPr="000719B7" w:rsidRDefault="008A438B" w:rsidP="00526FDE">
                            <w:pPr>
                              <w:jc w:val="both"/>
                              <w:rPr>
                                <w:rFonts w:asciiTheme="minorHAnsi" w:hAnsiTheme="minorHAnsi" w:cstheme="minorHAnsi"/>
                                <w:i/>
                                <w:color w:val="FFFFFF"/>
                                <w:sz w:val="22"/>
                                <w:u w:val="single"/>
                              </w:rPr>
                            </w:pPr>
                            <w:r w:rsidRPr="000719B7">
                              <w:rPr>
                                <w:rFonts w:asciiTheme="minorHAnsi" w:hAnsiTheme="minorHAnsi" w:cstheme="minorHAnsi"/>
                                <w:i/>
                                <w:color w:val="FFFFFF"/>
                                <w:sz w:val="22"/>
                              </w:rPr>
                              <w:t>(</w:t>
                            </w:r>
                            <w:r w:rsidR="00526FDE" w:rsidRPr="000719B7">
                              <w:rPr>
                                <w:rFonts w:asciiTheme="minorHAnsi" w:hAnsiTheme="minorHAnsi" w:cstheme="minorHAnsi"/>
                                <w:i/>
                                <w:color w:val="FFFFFF"/>
                                <w:sz w:val="22"/>
                              </w:rPr>
                              <w:t xml:space="preserve">Revised </w:t>
                            </w:r>
                            <w:r w:rsidR="00C908B1">
                              <w:rPr>
                                <w:rFonts w:asciiTheme="minorHAnsi" w:hAnsiTheme="minorHAnsi" w:cstheme="minorHAnsi"/>
                                <w:i/>
                                <w:color w:val="FFFFFF"/>
                                <w:sz w:val="22"/>
                              </w:rPr>
                              <w:t xml:space="preserve">May </w:t>
                            </w:r>
                            <w:r w:rsidR="00F356AF">
                              <w:rPr>
                                <w:rFonts w:asciiTheme="minorHAnsi" w:hAnsiTheme="minorHAnsi" w:cstheme="minorHAnsi"/>
                                <w:i/>
                                <w:color w:val="FFFFFF"/>
                                <w:sz w:val="22"/>
                              </w:rPr>
                              <w:t>202</w:t>
                            </w:r>
                            <w:r w:rsidR="005C3BC3">
                              <w:rPr>
                                <w:rFonts w:asciiTheme="minorHAnsi" w:hAnsiTheme="minorHAnsi" w:cstheme="minorHAnsi"/>
                                <w:i/>
                                <w:color w:val="FFFFFF"/>
                                <w:sz w:val="22"/>
                              </w:rPr>
                              <w:t>5</w:t>
                            </w:r>
                            <w:r w:rsidRPr="000719B7">
                              <w:rPr>
                                <w:rFonts w:asciiTheme="minorHAnsi" w:hAnsiTheme="minorHAnsi" w:cstheme="minorHAnsi"/>
                                <w:i/>
                                <w:color w:val="FFFFFF"/>
                                <w:sz w:val="22"/>
                              </w:rPr>
                              <w:t>)</w:t>
                            </w:r>
                          </w:p>
                          <w:p w14:paraId="72AE6CAB" w14:textId="77777777" w:rsidR="00526FDE" w:rsidRDefault="00526F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625B9" id="_x0000_t202" coordsize="21600,21600" o:spt="202" path="m,l,21600r21600,l21600,xe">
                <v:stroke joinstyle="miter"/>
                <v:path gradientshapeok="t" o:connecttype="rect"/>
              </v:shapetype>
              <v:shape id="Text Box 3" o:spid="_x0000_s1026" type="#_x0000_t202" style="position:absolute;left:0;text-align:left;margin-left:-6.75pt;margin-top:21.45pt;width:333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" filled="f" stroked="f">
                <v:textbox>
                  <w:txbxContent>
                    <w:p w14:paraId="4D4A9B2D" w14:textId="77777777" w:rsidR="005C3BC3" w:rsidRDefault="005C3BC3">
                      <w:pPr>
                        <w:rPr>
                          <w:rFonts w:asciiTheme="minorHAnsi" w:hAnsiTheme="minorHAnsi" w:cstheme="minorHAnsi"/>
                          <w:b/>
                          <w:smallCaps/>
                          <w:color w:val="FFFFFF"/>
                          <w:sz w:val="28"/>
                          <w:szCs w:val="28"/>
                        </w:rPr>
                      </w:pPr>
                      <w:r>
                        <w:rPr>
                          <w:rFonts w:asciiTheme="minorHAnsi" w:hAnsiTheme="minorHAnsi" w:cstheme="minorHAnsi"/>
                          <w:b/>
                          <w:smallCaps/>
                          <w:color w:val="FFFFFF"/>
                          <w:sz w:val="28"/>
                          <w:szCs w:val="28"/>
                        </w:rPr>
                        <w:t>Administrative</w:t>
                      </w:r>
                      <w:r w:rsidRPr="000719B7">
                        <w:rPr>
                          <w:rFonts w:asciiTheme="minorHAnsi" w:hAnsiTheme="minorHAnsi" w:cstheme="minorHAnsi"/>
                          <w:b/>
                          <w:smallCaps/>
                          <w:color w:val="FFFFFF"/>
                          <w:sz w:val="28"/>
                          <w:szCs w:val="28"/>
                        </w:rPr>
                        <w:t xml:space="preserve"> </w:t>
                      </w:r>
                      <w:r w:rsidR="00526FDE" w:rsidRPr="000719B7">
                        <w:rPr>
                          <w:rFonts w:asciiTheme="minorHAnsi" w:hAnsiTheme="minorHAnsi" w:cstheme="minorHAnsi"/>
                          <w:b/>
                          <w:smallCaps/>
                          <w:color w:val="FFFFFF"/>
                          <w:sz w:val="28"/>
                          <w:szCs w:val="28"/>
                        </w:rPr>
                        <w:t>Reviews</w:t>
                      </w:r>
                    </w:p>
                    <w:p w14:paraId="10C94E1C" w14:textId="41AB3AC9" w:rsidR="00526FDE" w:rsidRPr="000719B7" w:rsidRDefault="00526FDE">
                      <w:pPr>
                        <w:rPr>
                          <w:rFonts w:asciiTheme="minorHAnsi" w:hAnsiTheme="minorHAnsi" w:cstheme="minorHAnsi"/>
                          <w:b/>
                          <w:smallCaps/>
                          <w:color w:val="FFFFFF"/>
                          <w:sz w:val="28"/>
                          <w:szCs w:val="28"/>
                        </w:rPr>
                      </w:pPr>
                      <w:r w:rsidRPr="000719B7">
                        <w:rPr>
                          <w:rFonts w:asciiTheme="minorHAnsi" w:hAnsiTheme="minorHAnsi" w:cstheme="minorHAnsi"/>
                          <w:b/>
                          <w:smallCaps/>
                          <w:color w:val="FFFFFF"/>
                          <w:sz w:val="28"/>
                          <w:szCs w:val="28"/>
                        </w:rPr>
                        <w:t xml:space="preserve">Framework </w:t>
                      </w:r>
                      <w:r w:rsidR="00FB17E8">
                        <w:rPr>
                          <w:rFonts w:asciiTheme="minorHAnsi" w:hAnsiTheme="minorHAnsi" w:cstheme="minorHAnsi"/>
                          <w:b/>
                          <w:smallCaps/>
                          <w:color w:val="FFFFFF"/>
                          <w:sz w:val="28"/>
                          <w:szCs w:val="28"/>
                        </w:rPr>
                        <w:t>and Terms of Reference</w:t>
                      </w:r>
                    </w:p>
                    <w:p w14:paraId="15C6476A" w14:textId="7586B0C4" w:rsidR="00526FDE" w:rsidRPr="000719B7" w:rsidRDefault="008A438B" w:rsidP="00526FDE">
                      <w:pPr>
                        <w:jc w:val="both"/>
                        <w:rPr>
                          <w:rFonts w:asciiTheme="minorHAnsi" w:hAnsiTheme="minorHAnsi" w:cstheme="minorHAnsi"/>
                          <w:i/>
                          <w:color w:val="FFFFFF"/>
                          <w:sz w:val="22"/>
                          <w:u w:val="single"/>
                        </w:rPr>
                      </w:pPr>
                      <w:r w:rsidRPr="000719B7">
                        <w:rPr>
                          <w:rFonts w:asciiTheme="minorHAnsi" w:hAnsiTheme="minorHAnsi" w:cstheme="minorHAnsi"/>
                          <w:i/>
                          <w:color w:val="FFFFFF"/>
                          <w:sz w:val="22"/>
                        </w:rPr>
                        <w:t>(</w:t>
                      </w:r>
                      <w:r w:rsidR="00526FDE" w:rsidRPr="000719B7">
                        <w:rPr>
                          <w:rFonts w:asciiTheme="minorHAnsi" w:hAnsiTheme="minorHAnsi" w:cstheme="minorHAnsi"/>
                          <w:i/>
                          <w:color w:val="FFFFFF"/>
                          <w:sz w:val="22"/>
                        </w:rPr>
                        <w:t xml:space="preserve">Revised </w:t>
                      </w:r>
                      <w:r w:rsidR="00C908B1">
                        <w:rPr>
                          <w:rFonts w:asciiTheme="minorHAnsi" w:hAnsiTheme="minorHAnsi" w:cstheme="minorHAnsi"/>
                          <w:i/>
                          <w:color w:val="FFFFFF"/>
                          <w:sz w:val="22"/>
                        </w:rPr>
                        <w:t xml:space="preserve">May </w:t>
                      </w:r>
                      <w:r w:rsidR="00F356AF">
                        <w:rPr>
                          <w:rFonts w:asciiTheme="minorHAnsi" w:hAnsiTheme="minorHAnsi" w:cstheme="minorHAnsi"/>
                          <w:i/>
                          <w:color w:val="FFFFFF"/>
                          <w:sz w:val="22"/>
                        </w:rPr>
                        <w:t>202</w:t>
                      </w:r>
                      <w:r w:rsidR="005C3BC3">
                        <w:rPr>
                          <w:rFonts w:asciiTheme="minorHAnsi" w:hAnsiTheme="minorHAnsi" w:cstheme="minorHAnsi"/>
                          <w:i/>
                          <w:color w:val="FFFFFF"/>
                          <w:sz w:val="22"/>
                        </w:rPr>
                        <w:t>5</w:t>
                      </w:r>
                      <w:r w:rsidRPr="000719B7">
                        <w:rPr>
                          <w:rFonts w:asciiTheme="minorHAnsi" w:hAnsiTheme="minorHAnsi" w:cstheme="minorHAnsi"/>
                          <w:i/>
                          <w:color w:val="FFFFFF"/>
                          <w:sz w:val="22"/>
                        </w:rPr>
                        <w:t>)</w:t>
                      </w:r>
                    </w:p>
                    <w:p w14:paraId="72AE6CAB" w14:textId="77777777" w:rsidR="00526FDE" w:rsidRDefault="00526FDE"/>
                  </w:txbxContent>
                </v:textbox>
              </v:shape>
            </w:pict>
          </mc:Fallback>
        </mc:AlternateContent>
      </w:r>
      <w:r w:rsidR="00587375" w:rsidRPr="006001D8">
        <w:rPr>
          <w:rFonts w:asciiTheme="minorHAnsi" w:hAnsiTheme="minorHAnsi" w:cstheme="minorHAnsi"/>
          <w:b/>
          <w:noProof/>
          <w:sz w:val="28"/>
          <w:szCs w:val="28"/>
          <w:lang w:eastAsia="en-NZ"/>
        </w:rPr>
        <w:drawing>
          <wp:anchor distT="0" distB="0" distL="114300" distR="114300" simplePos="0" relativeHeight="251657216" behindDoc="1" locked="0" layoutInCell="1" allowOverlap="1" wp14:anchorId="00AF3C91" wp14:editId="5DB34025">
            <wp:simplePos x="0" y="0"/>
            <wp:positionH relativeFrom="column">
              <wp:posOffset>-342900</wp:posOffset>
            </wp:positionH>
            <wp:positionV relativeFrom="paragraph">
              <wp:posOffset>-800100</wp:posOffset>
            </wp:positionV>
            <wp:extent cx="6286500" cy="1285875"/>
            <wp:effectExtent l="0" t="0" r="0" b="9525"/>
            <wp:wrapTight wrapText="bothSides">
              <wp:wrapPolygon edited="0">
                <wp:start x="0" y="0"/>
                <wp:lineTo x="0" y="21440"/>
                <wp:lineTo x="21535" y="21440"/>
                <wp:lineTo x="21535" y="0"/>
                <wp:lineTo x="0" y="0"/>
              </wp:wrapPolygon>
            </wp:wrapTight>
            <wp:docPr id="2" name="Picture 2" descr="qabandbas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abandbas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0"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4647B2" w14:textId="77777777" w:rsidR="00526FDE" w:rsidRPr="00F356AF" w:rsidRDefault="00526FDE" w:rsidP="00F356AF">
      <w:pPr>
        <w:pBdr>
          <w:bottom w:val="single" w:sz="6" w:space="1" w:color="CCCCCC"/>
        </w:pBdr>
        <w:shd w:val="clear" w:color="auto" w:fill="99CCFF"/>
        <w:ind w:left="-284"/>
        <w:outlineLvl w:val="2"/>
        <w:rPr>
          <w:rFonts w:asciiTheme="minorHAnsi" w:hAnsiTheme="minorHAnsi" w:cstheme="minorHAnsi"/>
          <w:b/>
          <w:color w:val="333333"/>
          <w:spacing w:val="24"/>
          <w:sz w:val="23"/>
          <w:szCs w:val="23"/>
        </w:rPr>
      </w:pPr>
      <w:r w:rsidRPr="00F356AF">
        <w:rPr>
          <w:rFonts w:asciiTheme="minorHAnsi" w:hAnsiTheme="minorHAnsi" w:cstheme="minorHAnsi"/>
          <w:b/>
          <w:color w:val="333333"/>
          <w:spacing w:val="24"/>
          <w:sz w:val="23"/>
          <w:szCs w:val="23"/>
        </w:rPr>
        <w:t>Framework</w:t>
      </w:r>
    </w:p>
    <w:p w14:paraId="028A65DA" w14:textId="77777777" w:rsidR="00F356AF" w:rsidRDefault="00F356AF" w:rsidP="00F356AF">
      <w:pPr>
        <w:pStyle w:val="ListParagraph"/>
        <w:ind w:left="0"/>
        <w:rPr>
          <w:lang w:val="mi-NZ"/>
        </w:rPr>
      </w:pPr>
    </w:p>
    <w:p w14:paraId="662A33A3" w14:textId="03202079" w:rsidR="00F356AF" w:rsidRPr="00026082" w:rsidRDefault="00F356AF" w:rsidP="00F356AF">
      <w:pPr>
        <w:pStyle w:val="ListParagraph"/>
        <w:tabs>
          <w:tab w:val="left" w:pos="-284"/>
          <w:tab w:val="left" w:pos="567"/>
        </w:tabs>
        <w:ind w:left="-284" w:firstLine="0"/>
        <w:rPr>
          <w:lang w:val="mi-NZ"/>
        </w:rPr>
      </w:pPr>
      <w:r w:rsidRPr="00026082">
        <w:rPr>
          <w:lang w:val="mi-NZ"/>
        </w:rPr>
        <w:t xml:space="preserve">A review is an opportunity to critically analyse the goals and objectives of </w:t>
      </w:r>
      <w:r>
        <w:rPr>
          <w:lang w:val="mi-NZ"/>
        </w:rPr>
        <w:t>an Adminstrative Unit</w:t>
      </w:r>
      <w:r w:rsidRPr="00026082">
        <w:rPr>
          <w:lang w:val="mi-NZ"/>
        </w:rPr>
        <w:t xml:space="preserve"> and to receive affirmation that current plans and priorities will have long term benefits for students and staff</w:t>
      </w:r>
      <w:r>
        <w:rPr>
          <w:lang w:val="mi-NZ"/>
        </w:rPr>
        <w:t>, and to ensure that its strategy is aligned with University strategy</w:t>
      </w:r>
      <w:r w:rsidRPr="00026082">
        <w:rPr>
          <w:lang w:val="mi-NZ"/>
        </w:rPr>
        <w:t xml:space="preserve">.  It is designed to help the area being reviewed plan its future direction, set strategic goals and identify the challenges it will face.  </w:t>
      </w:r>
    </w:p>
    <w:p w14:paraId="7C0BDBC3" w14:textId="77777777" w:rsidR="00F356AF" w:rsidRPr="00026082" w:rsidRDefault="00F356AF" w:rsidP="00F356AF">
      <w:pPr>
        <w:pStyle w:val="ListParagraph"/>
        <w:tabs>
          <w:tab w:val="left" w:pos="0"/>
          <w:tab w:val="left" w:pos="567"/>
        </w:tabs>
        <w:ind w:left="0" w:hanging="284"/>
        <w:rPr>
          <w:lang w:val="mi-NZ"/>
        </w:rPr>
      </w:pPr>
    </w:p>
    <w:p w14:paraId="6DFAC917" w14:textId="06566B31" w:rsidR="00F356AF" w:rsidRPr="00026082" w:rsidRDefault="00F356AF" w:rsidP="00F356AF">
      <w:pPr>
        <w:pStyle w:val="ListParagraph"/>
        <w:tabs>
          <w:tab w:val="left" w:pos="-284"/>
          <w:tab w:val="left" w:pos="567"/>
        </w:tabs>
        <w:ind w:left="-284" w:firstLine="0"/>
        <w:rPr>
          <w:lang w:val="mi-NZ"/>
        </w:rPr>
      </w:pPr>
      <w:r w:rsidRPr="00026082">
        <w:rPr>
          <w:lang w:val="mi-NZ"/>
        </w:rPr>
        <w:t xml:space="preserve">The key part of the review is the Self Review, in which the </w:t>
      </w:r>
      <w:r>
        <w:rPr>
          <w:lang w:val="mi-NZ"/>
        </w:rPr>
        <w:t>Unit</w:t>
      </w:r>
      <w:r w:rsidRPr="00026082">
        <w:rPr>
          <w:lang w:val="mi-NZ"/>
        </w:rPr>
        <w:t xml:space="preserve"> is expected to address the following questions in the context of the Terms of Reference:</w:t>
      </w:r>
    </w:p>
    <w:p w14:paraId="49015DEF" w14:textId="77777777" w:rsidR="00F356AF" w:rsidRPr="00026082" w:rsidRDefault="00F356AF" w:rsidP="00F356AF">
      <w:pPr>
        <w:pStyle w:val="ListParagraph"/>
        <w:tabs>
          <w:tab w:val="left" w:pos="0"/>
          <w:tab w:val="left" w:pos="567"/>
        </w:tabs>
        <w:ind w:left="0" w:hanging="284"/>
        <w:rPr>
          <w:lang w:val="mi-NZ"/>
        </w:rPr>
      </w:pPr>
    </w:p>
    <w:p w14:paraId="547D66ED" w14:textId="77777777" w:rsidR="00F356AF" w:rsidRPr="00B95E10" w:rsidRDefault="00F356AF" w:rsidP="00F356AF">
      <w:pPr>
        <w:pStyle w:val="ListParagraph"/>
        <w:tabs>
          <w:tab w:val="left" w:pos="0"/>
          <w:tab w:val="left" w:pos="567"/>
        </w:tabs>
        <w:ind w:left="0" w:hanging="284"/>
        <w:rPr>
          <w:i/>
          <w:iCs/>
          <w:lang w:val="mi-NZ"/>
        </w:rPr>
      </w:pPr>
      <w:r w:rsidRPr="00B95E10">
        <w:rPr>
          <w:i/>
          <w:iCs/>
          <w:lang w:val="mi-NZ"/>
        </w:rPr>
        <w:t xml:space="preserve">Current State </w:t>
      </w:r>
    </w:p>
    <w:p w14:paraId="69E2686A" w14:textId="77777777" w:rsidR="00F356AF" w:rsidRPr="00026082" w:rsidRDefault="00F356AF" w:rsidP="00F356AF">
      <w:pPr>
        <w:pStyle w:val="ListParagraph"/>
        <w:tabs>
          <w:tab w:val="left" w:pos="0"/>
          <w:tab w:val="left" w:pos="567"/>
        </w:tabs>
        <w:ind w:left="0" w:hanging="284"/>
        <w:rPr>
          <w:i/>
          <w:iCs/>
          <w:lang w:val="mi-NZ"/>
        </w:rPr>
      </w:pPr>
    </w:p>
    <w:p w14:paraId="2DCC8DF0" w14:textId="71686CC7" w:rsidR="00F356AF" w:rsidRPr="00026082" w:rsidRDefault="00F356AF" w:rsidP="00F356AF">
      <w:pPr>
        <w:pStyle w:val="ListParagraph"/>
        <w:numPr>
          <w:ilvl w:val="0"/>
          <w:numId w:val="13"/>
        </w:numPr>
        <w:tabs>
          <w:tab w:val="left" w:pos="-284"/>
          <w:tab w:val="left" w:pos="567"/>
        </w:tabs>
        <w:rPr>
          <w:lang w:val="mi-NZ"/>
        </w:rPr>
      </w:pPr>
      <w:r w:rsidRPr="00026082">
        <w:rPr>
          <w:lang w:val="mi-NZ"/>
        </w:rPr>
        <w:t xml:space="preserve">What is the current situation of the </w:t>
      </w:r>
      <w:r>
        <w:rPr>
          <w:lang w:val="mi-NZ"/>
        </w:rPr>
        <w:t>Unit</w:t>
      </w:r>
      <w:r w:rsidRPr="00026082">
        <w:rPr>
          <w:lang w:val="mi-NZ"/>
        </w:rPr>
        <w:t>?</w:t>
      </w:r>
    </w:p>
    <w:p w14:paraId="1B6E0B74" w14:textId="03ED4FB5" w:rsidR="00F356AF" w:rsidRPr="00F356AF" w:rsidRDefault="00F356AF" w:rsidP="00F356AF">
      <w:pPr>
        <w:pStyle w:val="ListParagraph"/>
        <w:numPr>
          <w:ilvl w:val="0"/>
          <w:numId w:val="13"/>
        </w:numPr>
        <w:tabs>
          <w:tab w:val="left" w:pos="-284"/>
          <w:tab w:val="left" w:pos="567"/>
        </w:tabs>
        <w:rPr>
          <w:lang w:val="mi-NZ"/>
        </w:rPr>
      </w:pPr>
      <w:r w:rsidRPr="00F356AF">
        <w:rPr>
          <w:lang w:val="mi-NZ"/>
        </w:rPr>
        <w:t>What does the Unit do well?</w:t>
      </w:r>
    </w:p>
    <w:p w14:paraId="67BA1DC1" w14:textId="6AEFADC4" w:rsidR="00F356AF" w:rsidRPr="00F356AF" w:rsidRDefault="00F356AF" w:rsidP="00F356AF">
      <w:pPr>
        <w:pStyle w:val="ListParagraph"/>
        <w:numPr>
          <w:ilvl w:val="0"/>
          <w:numId w:val="13"/>
        </w:numPr>
        <w:tabs>
          <w:tab w:val="left" w:pos="-284"/>
          <w:tab w:val="left" w:pos="567"/>
        </w:tabs>
        <w:rPr>
          <w:lang w:val="mi-NZ"/>
        </w:rPr>
      </w:pPr>
      <w:r w:rsidRPr="00F356AF">
        <w:rPr>
          <w:lang w:val="mi-NZ"/>
        </w:rPr>
        <w:t>How does the Unit contribute to the wider goals of the Division of which it is a part?</w:t>
      </w:r>
    </w:p>
    <w:p w14:paraId="6A14734A" w14:textId="46EA064E" w:rsidR="00F356AF" w:rsidRPr="00F356AF" w:rsidRDefault="00F356AF" w:rsidP="00F356AF">
      <w:pPr>
        <w:pStyle w:val="ListParagraph"/>
        <w:numPr>
          <w:ilvl w:val="0"/>
          <w:numId w:val="13"/>
        </w:numPr>
        <w:tabs>
          <w:tab w:val="left" w:pos="-284"/>
          <w:tab w:val="left" w:pos="567"/>
        </w:tabs>
        <w:rPr>
          <w:lang w:val="mi-NZ"/>
        </w:rPr>
      </w:pPr>
      <w:r w:rsidRPr="00F356AF">
        <w:rPr>
          <w:lang w:val="mi-NZ"/>
        </w:rPr>
        <w:t xml:space="preserve">How do the activities of the Unit support the University in the delivery of its strategic goals, as outlined in </w:t>
      </w:r>
      <w:r w:rsidRPr="00F356AF">
        <w:rPr>
          <w:i/>
          <w:iCs/>
          <w:lang w:val="mi-NZ"/>
        </w:rPr>
        <w:t>Vision 2040</w:t>
      </w:r>
      <w:r w:rsidRPr="00F356AF">
        <w:rPr>
          <w:lang w:val="mi-NZ"/>
        </w:rPr>
        <w:t xml:space="preserve">, </w:t>
      </w:r>
      <w:r w:rsidR="007D7673" w:rsidRPr="007D7673">
        <w:rPr>
          <w:i/>
          <w:iCs/>
          <w:lang w:val="mi-NZ"/>
        </w:rPr>
        <w:t>Pae Tata</w:t>
      </w:r>
      <w:r w:rsidR="007D7673">
        <w:rPr>
          <w:lang w:val="mi-NZ"/>
        </w:rPr>
        <w:t xml:space="preserve">, </w:t>
      </w:r>
      <w:r w:rsidRPr="00F356AF">
        <w:rPr>
          <w:lang w:val="mi-NZ"/>
        </w:rPr>
        <w:t>and in the University’s Māori Strategic Framework, Pacific Strategic Framework, and Sustainability Strategic Framework?</w:t>
      </w:r>
    </w:p>
    <w:p w14:paraId="2D97D997" w14:textId="77777777" w:rsidR="00F356AF" w:rsidRPr="00F356AF" w:rsidRDefault="00F356AF" w:rsidP="00F356AF">
      <w:pPr>
        <w:pStyle w:val="ListParagraph"/>
        <w:tabs>
          <w:tab w:val="left" w:pos="-284"/>
          <w:tab w:val="left" w:pos="567"/>
        </w:tabs>
        <w:ind w:left="-284" w:firstLine="0"/>
        <w:rPr>
          <w:lang w:val="mi-NZ"/>
        </w:rPr>
      </w:pPr>
    </w:p>
    <w:p w14:paraId="35834B6D" w14:textId="77777777" w:rsidR="00F356AF" w:rsidRPr="00790533" w:rsidRDefault="00F356AF" w:rsidP="00F356AF">
      <w:pPr>
        <w:pStyle w:val="ListParagraph"/>
        <w:tabs>
          <w:tab w:val="left" w:pos="0"/>
          <w:tab w:val="left" w:pos="567"/>
        </w:tabs>
        <w:ind w:left="0" w:hanging="284"/>
        <w:rPr>
          <w:i/>
          <w:iCs/>
          <w:color w:val="auto"/>
          <w:lang w:val="mi-NZ"/>
        </w:rPr>
      </w:pPr>
      <w:r w:rsidRPr="00790533">
        <w:rPr>
          <w:i/>
          <w:iCs/>
          <w:color w:val="auto"/>
          <w:lang w:val="mi-NZ"/>
        </w:rPr>
        <w:t xml:space="preserve">Future State </w:t>
      </w:r>
    </w:p>
    <w:p w14:paraId="08F158B6" w14:textId="77777777" w:rsidR="00F356AF" w:rsidRPr="00026082" w:rsidRDefault="00F356AF" w:rsidP="00F356AF">
      <w:pPr>
        <w:pStyle w:val="ListParagraph"/>
        <w:tabs>
          <w:tab w:val="left" w:pos="0"/>
          <w:tab w:val="left" w:pos="567"/>
        </w:tabs>
        <w:ind w:left="0" w:hanging="284"/>
        <w:rPr>
          <w:i/>
          <w:iCs/>
          <w:lang w:val="mi-NZ"/>
        </w:rPr>
      </w:pPr>
    </w:p>
    <w:p w14:paraId="2DE4F5DE" w14:textId="07BD5B52" w:rsidR="00F356AF" w:rsidRPr="00026082" w:rsidRDefault="00F356AF" w:rsidP="00F356AF">
      <w:pPr>
        <w:pStyle w:val="ListParagraph"/>
        <w:numPr>
          <w:ilvl w:val="0"/>
          <w:numId w:val="14"/>
        </w:numPr>
        <w:tabs>
          <w:tab w:val="left" w:pos="-284"/>
          <w:tab w:val="left" w:pos="567"/>
        </w:tabs>
        <w:rPr>
          <w:lang w:val="mi-NZ"/>
        </w:rPr>
      </w:pPr>
      <w:r w:rsidRPr="00026082">
        <w:rPr>
          <w:lang w:val="mi-NZ"/>
        </w:rPr>
        <w:t xml:space="preserve">Where does the </w:t>
      </w:r>
      <w:r>
        <w:rPr>
          <w:lang w:val="mi-NZ"/>
        </w:rPr>
        <w:t>Unit</w:t>
      </w:r>
      <w:r w:rsidRPr="00026082">
        <w:rPr>
          <w:lang w:val="mi-NZ"/>
        </w:rPr>
        <w:t xml:space="preserve"> want to be in five to ten years time?</w:t>
      </w:r>
    </w:p>
    <w:p w14:paraId="43B8FE85" w14:textId="7D9313F1" w:rsidR="00F356AF" w:rsidRPr="00026082" w:rsidRDefault="00F356AF" w:rsidP="00F356AF">
      <w:pPr>
        <w:pStyle w:val="ListParagraph"/>
        <w:numPr>
          <w:ilvl w:val="0"/>
          <w:numId w:val="14"/>
        </w:numPr>
        <w:tabs>
          <w:tab w:val="left" w:pos="-284"/>
          <w:tab w:val="left" w:pos="567"/>
        </w:tabs>
        <w:rPr>
          <w:lang w:val="mi-NZ"/>
        </w:rPr>
      </w:pPr>
      <w:r w:rsidRPr="00026082">
        <w:rPr>
          <w:lang w:val="mi-NZ"/>
        </w:rPr>
        <w:t xml:space="preserve">What does the </w:t>
      </w:r>
      <w:r>
        <w:rPr>
          <w:lang w:val="mi-NZ"/>
        </w:rPr>
        <w:t>Unit</w:t>
      </w:r>
      <w:r w:rsidRPr="00026082">
        <w:rPr>
          <w:lang w:val="mi-NZ"/>
        </w:rPr>
        <w:t xml:space="preserve"> need to do to get there?</w:t>
      </w:r>
    </w:p>
    <w:p w14:paraId="2B0908FD" w14:textId="4186D5B6" w:rsidR="00F356AF" w:rsidRPr="00026082" w:rsidRDefault="00F356AF" w:rsidP="00F356AF">
      <w:pPr>
        <w:pStyle w:val="ListParagraph"/>
        <w:numPr>
          <w:ilvl w:val="0"/>
          <w:numId w:val="14"/>
        </w:numPr>
        <w:tabs>
          <w:tab w:val="left" w:pos="-284"/>
          <w:tab w:val="left" w:pos="567"/>
        </w:tabs>
        <w:rPr>
          <w:lang w:val="mi-NZ"/>
        </w:rPr>
      </w:pPr>
      <w:r w:rsidRPr="00026082">
        <w:rPr>
          <w:lang w:val="mi-NZ"/>
        </w:rPr>
        <w:t xml:space="preserve">What challenges face the future development of the </w:t>
      </w:r>
      <w:r>
        <w:rPr>
          <w:lang w:val="mi-NZ"/>
        </w:rPr>
        <w:t>Unit</w:t>
      </w:r>
      <w:r w:rsidRPr="00026082">
        <w:rPr>
          <w:lang w:val="mi-NZ"/>
        </w:rPr>
        <w:t>?</w:t>
      </w:r>
    </w:p>
    <w:p w14:paraId="14AA8F21" w14:textId="2A9DED8B" w:rsidR="00F356AF" w:rsidRPr="00026082" w:rsidRDefault="00F356AF" w:rsidP="00F356AF">
      <w:pPr>
        <w:pStyle w:val="ListParagraph"/>
        <w:numPr>
          <w:ilvl w:val="0"/>
          <w:numId w:val="14"/>
        </w:numPr>
        <w:tabs>
          <w:tab w:val="left" w:pos="-284"/>
          <w:tab w:val="left" w:pos="567"/>
        </w:tabs>
        <w:rPr>
          <w:lang w:val="mi-NZ"/>
        </w:rPr>
      </w:pPr>
      <w:r w:rsidRPr="00026082">
        <w:rPr>
          <w:lang w:val="mi-NZ"/>
        </w:rPr>
        <w:t xml:space="preserve">What changes might be required to strengthen the </w:t>
      </w:r>
      <w:r>
        <w:rPr>
          <w:lang w:val="mi-NZ"/>
        </w:rPr>
        <w:t>Unit</w:t>
      </w:r>
      <w:r w:rsidRPr="00026082">
        <w:rPr>
          <w:lang w:val="mi-NZ"/>
        </w:rPr>
        <w:t xml:space="preserve"> contribution to University and Divisional goals and priorities?</w:t>
      </w:r>
    </w:p>
    <w:p w14:paraId="6E41A7D2" w14:textId="37D2D248" w:rsidR="00F356AF" w:rsidRPr="00026082" w:rsidRDefault="00F356AF" w:rsidP="00F356AF">
      <w:pPr>
        <w:pStyle w:val="ListParagraph"/>
        <w:numPr>
          <w:ilvl w:val="0"/>
          <w:numId w:val="14"/>
        </w:numPr>
        <w:tabs>
          <w:tab w:val="left" w:pos="-284"/>
          <w:tab w:val="left" w:pos="567"/>
        </w:tabs>
        <w:rPr>
          <w:lang w:val="mi-NZ"/>
        </w:rPr>
      </w:pPr>
      <w:r w:rsidRPr="00026082">
        <w:rPr>
          <w:lang w:val="mi-NZ"/>
        </w:rPr>
        <w:t xml:space="preserve">What can the University </w:t>
      </w:r>
      <w:r>
        <w:rPr>
          <w:lang w:val="mi-NZ"/>
        </w:rPr>
        <w:t xml:space="preserve">and Division </w:t>
      </w:r>
      <w:r w:rsidRPr="00026082">
        <w:rPr>
          <w:lang w:val="mi-NZ"/>
        </w:rPr>
        <w:t xml:space="preserve">do to support the </w:t>
      </w:r>
      <w:r>
        <w:rPr>
          <w:lang w:val="mi-NZ"/>
        </w:rPr>
        <w:t>Unit</w:t>
      </w:r>
      <w:r w:rsidRPr="00026082">
        <w:rPr>
          <w:lang w:val="mi-NZ"/>
        </w:rPr>
        <w:t xml:space="preserve"> to achieve its goals?</w:t>
      </w:r>
    </w:p>
    <w:p w14:paraId="67D02463" w14:textId="77777777" w:rsidR="00F356AF" w:rsidRPr="00026082" w:rsidRDefault="00F356AF" w:rsidP="00F356AF">
      <w:pPr>
        <w:pStyle w:val="ListParagraph"/>
        <w:tabs>
          <w:tab w:val="left" w:pos="-284"/>
          <w:tab w:val="left" w:pos="567"/>
        </w:tabs>
        <w:ind w:left="-284" w:firstLine="0"/>
        <w:rPr>
          <w:lang w:val="mi-NZ"/>
        </w:rPr>
      </w:pPr>
    </w:p>
    <w:p w14:paraId="3710E8F8" w14:textId="77777777" w:rsidR="00F356AF" w:rsidRPr="00F356AF" w:rsidRDefault="00F356AF" w:rsidP="00F356AF">
      <w:pPr>
        <w:pStyle w:val="ListParagraph"/>
        <w:tabs>
          <w:tab w:val="left" w:pos="-284"/>
          <w:tab w:val="left" w:pos="567"/>
        </w:tabs>
        <w:ind w:left="-284" w:firstLine="0"/>
        <w:rPr>
          <w:b/>
          <w:bCs/>
          <w:sz w:val="24"/>
          <w:szCs w:val="24"/>
          <w:lang w:val="mi-NZ"/>
        </w:rPr>
      </w:pPr>
      <w:r w:rsidRPr="00F356AF">
        <w:rPr>
          <w:b/>
          <w:bCs/>
          <w:sz w:val="24"/>
          <w:szCs w:val="24"/>
          <w:lang w:val="mi-NZ"/>
        </w:rPr>
        <w:t>Alignment with the University’s Strategic Imperatives</w:t>
      </w:r>
    </w:p>
    <w:p w14:paraId="1EC6475D" w14:textId="77777777" w:rsidR="00F356AF" w:rsidRDefault="00F356AF" w:rsidP="00F356AF">
      <w:pPr>
        <w:pStyle w:val="ListParagraph"/>
        <w:tabs>
          <w:tab w:val="left" w:pos="-284"/>
          <w:tab w:val="left" w:pos="567"/>
        </w:tabs>
        <w:ind w:left="-284" w:firstLine="0"/>
        <w:rPr>
          <w:lang w:val="mi-NZ"/>
        </w:rPr>
      </w:pPr>
    </w:p>
    <w:p w14:paraId="1A0D9EA4" w14:textId="77777777" w:rsidR="00C41DD5" w:rsidRDefault="00F356AF" w:rsidP="00F356AF">
      <w:pPr>
        <w:pStyle w:val="ListParagraph"/>
        <w:tabs>
          <w:tab w:val="left" w:pos="-284"/>
          <w:tab w:val="left" w:pos="567"/>
        </w:tabs>
        <w:ind w:left="-284" w:firstLine="0"/>
        <w:rPr>
          <w:lang w:val="mi-NZ"/>
        </w:rPr>
      </w:pPr>
      <w:r>
        <w:rPr>
          <w:lang w:val="mi-NZ"/>
        </w:rPr>
        <w:t>T</w:t>
      </w:r>
      <w:r w:rsidRPr="00026082">
        <w:rPr>
          <w:lang w:val="mi-NZ"/>
        </w:rPr>
        <w:t xml:space="preserve">he core activities of </w:t>
      </w:r>
      <w:r>
        <w:rPr>
          <w:lang w:val="mi-NZ"/>
        </w:rPr>
        <w:t>the University are grouped</w:t>
      </w:r>
      <w:r w:rsidRPr="00026082">
        <w:rPr>
          <w:lang w:val="mi-NZ"/>
        </w:rPr>
        <w:t xml:space="preserve"> </w:t>
      </w:r>
      <w:r>
        <w:rPr>
          <w:lang w:val="mi-NZ"/>
        </w:rPr>
        <w:t>under</w:t>
      </w:r>
      <w:r w:rsidRPr="00026082">
        <w:rPr>
          <w:lang w:val="mi-NZ"/>
        </w:rPr>
        <w:t xml:space="preserve"> four broad headings: </w:t>
      </w:r>
      <w:r>
        <w:rPr>
          <w:lang w:val="mi-NZ"/>
        </w:rPr>
        <w:t xml:space="preserve">(1) </w:t>
      </w:r>
      <w:r w:rsidRPr="00026082">
        <w:rPr>
          <w:lang w:val="mi-NZ"/>
        </w:rPr>
        <w:t xml:space="preserve">Teaching and Student Support, </w:t>
      </w:r>
      <w:r>
        <w:rPr>
          <w:lang w:val="mi-NZ"/>
        </w:rPr>
        <w:t xml:space="preserve">(2) </w:t>
      </w:r>
      <w:r w:rsidRPr="00026082">
        <w:rPr>
          <w:lang w:val="mi-NZ"/>
        </w:rPr>
        <w:t xml:space="preserve">Research, </w:t>
      </w:r>
      <w:r>
        <w:rPr>
          <w:lang w:val="mi-NZ"/>
        </w:rPr>
        <w:t xml:space="preserve">(3) </w:t>
      </w:r>
      <w:r w:rsidRPr="00026082">
        <w:rPr>
          <w:lang w:val="mi-NZ"/>
        </w:rPr>
        <w:t xml:space="preserve">External Engagement and </w:t>
      </w:r>
      <w:r>
        <w:rPr>
          <w:lang w:val="mi-NZ"/>
        </w:rPr>
        <w:t xml:space="preserve">(4) </w:t>
      </w:r>
      <w:r w:rsidRPr="00026082">
        <w:rPr>
          <w:lang w:val="mi-NZ"/>
        </w:rPr>
        <w:t>Organisation</w:t>
      </w:r>
      <w:r>
        <w:rPr>
          <w:lang w:val="mi-NZ"/>
        </w:rPr>
        <w:t xml:space="preserve">al Resources, which in turn are aligned to the University’s Strategic Imperatives from </w:t>
      </w:r>
      <w:r w:rsidRPr="00F356AF">
        <w:rPr>
          <w:i/>
          <w:iCs/>
          <w:lang w:val="mi-NZ"/>
        </w:rPr>
        <w:t>Vision 2040</w:t>
      </w:r>
      <w:r w:rsidRPr="00026082">
        <w:rPr>
          <w:lang w:val="mi-NZ"/>
        </w:rPr>
        <w:t>.</w:t>
      </w:r>
      <w:r w:rsidR="00C41DD5">
        <w:rPr>
          <w:lang w:val="mi-NZ"/>
        </w:rPr>
        <w:t xml:space="preserve">  </w:t>
      </w:r>
    </w:p>
    <w:p w14:paraId="66D66899" w14:textId="77777777" w:rsidR="00C41DD5" w:rsidRDefault="00C41DD5" w:rsidP="00F356AF">
      <w:pPr>
        <w:pStyle w:val="ListParagraph"/>
        <w:tabs>
          <w:tab w:val="left" w:pos="-284"/>
          <w:tab w:val="left" w:pos="567"/>
        </w:tabs>
        <w:ind w:left="-284" w:firstLine="0"/>
        <w:rPr>
          <w:lang w:val="mi-NZ"/>
        </w:rPr>
      </w:pPr>
    </w:p>
    <w:p w14:paraId="37AC8963" w14:textId="178BBCCB" w:rsidR="00F356AF" w:rsidRDefault="00C41DD5" w:rsidP="00F356AF">
      <w:pPr>
        <w:pStyle w:val="ListParagraph"/>
        <w:tabs>
          <w:tab w:val="left" w:pos="-284"/>
          <w:tab w:val="left" w:pos="567"/>
        </w:tabs>
        <w:ind w:left="-284" w:firstLine="0"/>
        <w:rPr>
          <w:lang w:val="mi-NZ"/>
        </w:rPr>
      </w:pPr>
      <w:r w:rsidRPr="00C41DD5">
        <w:rPr>
          <w:lang w:val="mi-NZ"/>
        </w:rPr>
        <w:t xml:space="preserve">All contributors to the review – the Administrative Unit, Director or Divisional Head, and the Review Panel – may choose to emphasise individual items within each broad heading. </w:t>
      </w:r>
      <w:r w:rsidR="00F356AF">
        <w:rPr>
          <w:lang w:val="mi-NZ"/>
        </w:rPr>
        <w:t xml:space="preserve">  </w:t>
      </w:r>
    </w:p>
    <w:p w14:paraId="711F6331" w14:textId="77777777" w:rsidR="00F356AF" w:rsidRPr="009C428B" w:rsidRDefault="00F356AF" w:rsidP="00F356AF">
      <w:pPr>
        <w:pStyle w:val="ListParagraph"/>
        <w:tabs>
          <w:tab w:val="left" w:pos="-284"/>
          <w:tab w:val="left" w:pos="567"/>
        </w:tabs>
        <w:ind w:left="-284" w:firstLine="0"/>
        <w:rPr>
          <w:lang w:val="mi-NZ"/>
        </w:rPr>
      </w:pPr>
    </w:p>
    <w:p w14:paraId="4B95649D" w14:textId="3D41B5C6" w:rsidR="00662C8B" w:rsidRDefault="00662C8B" w:rsidP="00F356AF">
      <w:pPr>
        <w:pStyle w:val="ListParagraph"/>
        <w:tabs>
          <w:tab w:val="left" w:pos="-284"/>
          <w:tab w:val="left" w:pos="567"/>
        </w:tabs>
        <w:ind w:left="-284" w:firstLine="0"/>
        <w:rPr>
          <w:i/>
          <w:iCs/>
          <w:lang w:val="mi-NZ"/>
        </w:rPr>
      </w:pPr>
    </w:p>
    <w:p w14:paraId="1CE7457F" w14:textId="6F61E76F" w:rsidR="00662C8B" w:rsidRDefault="00662C8B" w:rsidP="00F356AF">
      <w:pPr>
        <w:pStyle w:val="ListParagraph"/>
        <w:tabs>
          <w:tab w:val="left" w:pos="-284"/>
          <w:tab w:val="left" w:pos="567"/>
        </w:tabs>
        <w:ind w:left="-284" w:firstLine="0"/>
        <w:rPr>
          <w:i/>
          <w:iCs/>
          <w:lang w:val="mi-NZ"/>
        </w:rPr>
      </w:pPr>
    </w:p>
    <w:p w14:paraId="5787F7A9" w14:textId="77777777" w:rsidR="00662C8B" w:rsidRDefault="00662C8B" w:rsidP="00662C8B">
      <w:pPr>
        <w:pStyle w:val="Heading1"/>
        <w:spacing w:after="70"/>
        <w:ind w:left="-5"/>
        <w:rPr>
          <w:rFonts w:asciiTheme="minorHAnsi" w:hAnsiTheme="minorHAnsi"/>
          <w:color w:val="auto"/>
          <w:sz w:val="24"/>
          <w:szCs w:val="24"/>
        </w:rPr>
      </w:pPr>
      <w:r>
        <w:rPr>
          <w:rFonts w:asciiTheme="minorHAnsi" w:hAnsiTheme="minorHAnsi"/>
          <w:color w:val="auto"/>
          <w:sz w:val="24"/>
          <w:szCs w:val="24"/>
        </w:rPr>
        <w:t xml:space="preserve">Terms of Reference </w:t>
      </w:r>
    </w:p>
    <w:p w14:paraId="1634E05F" w14:textId="77777777" w:rsidR="00662C8B" w:rsidRDefault="00662C8B" w:rsidP="00662C8B">
      <w:pPr>
        <w:spacing w:after="70"/>
        <w:ind w:left="-6" w:hanging="11"/>
        <w:contextualSpacing/>
        <w:rPr>
          <w:rFonts w:asciiTheme="minorHAnsi" w:hAnsiTheme="minorHAnsi"/>
          <w:u w:val="single" w:color="000000"/>
        </w:rPr>
      </w:pPr>
    </w:p>
    <w:p w14:paraId="05905C0E" w14:textId="77777777" w:rsidR="00662C8B" w:rsidRDefault="00662C8B" w:rsidP="00662C8B">
      <w:pPr>
        <w:ind w:left="-6" w:hanging="11"/>
        <w:contextualSpacing/>
        <w:rPr>
          <w:rFonts w:asciiTheme="minorHAnsi" w:hAnsiTheme="minorHAnsi"/>
          <w:b/>
        </w:rPr>
      </w:pPr>
      <w:r>
        <w:rPr>
          <w:rFonts w:asciiTheme="minorHAnsi" w:hAnsiTheme="minorHAnsi"/>
          <w:b/>
        </w:rPr>
        <w:t>Core Activities</w:t>
      </w:r>
    </w:p>
    <w:p w14:paraId="46381B6D" w14:textId="77777777" w:rsidR="00BE47F3" w:rsidRDefault="00662C8B" w:rsidP="00662C8B">
      <w:pPr>
        <w:ind w:left="-5" w:firstLine="5"/>
        <w:rPr>
          <w:rFonts w:ascii="Calibri" w:eastAsia="Calibri" w:hAnsi="Calibri" w:cs="Calibri"/>
          <w:color w:val="000000"/>
          <w:sz w:val="22"/>
          <w:szCs w:val="22"/>
          <w:lang w:val="mi-NZ" w:eastAsia="en-NZ"/>
        </w:rPr>
      </w:pPr>
      <w:r w:rsidRPr="00003083">
        <w:rPr>
          <w:rFonts w:ascii="Calibri" w:eastAsia="Calibri" w:hAnsi="Calibri" w:cs="Calibri"/>
          <w:color w:val="000000"/>
          <w:sz w:val="22"/>
          <w:szCs w:val="22"/>
          <w:lang w:val="mi-NZ" w:eastAsia="en-NZ"/>
        </w:rPr>
        <w:t xml:space="preserve">In relation to the Unit’s core activities, to review, evaluate and identify opportunities for development over the next five </w:t>
      </w:r>
      <w:r w:rsidR="00C41DD5">
        <w:rPr>
          <w:rFonts w:ascii="Calibri" w:eastAsia="Calibri" w:hAnsi="Calibri" w:cs="Calibri"/>
          <w:color w:val="000000"/>
          <w:sz w:val="22"/>
          <w:szCs w:val="22"/>
          <w:lang w:val="mi-NZ" w:eastAsia="en-NZ"/>
        </w:rPr>
        <w:t xml:space="preserve">to ten </w:t>
      </w:r>
      <w:r w:rsidRPr="00003083">
        <w:rPr>
          <w:rFonts w:ascii="Calibri" w:eastAsia="Calibri" w:hAnsi="Calibri" w:cs="Calibri"/>
          <w:color w:val="000000"/>
          <w:sz w:val="22"/>
          <w:szCs w:val="22"/>
          <w:lang w:val="mi-NZ" w:eastAsia="en-NZ"/>
        </w:rPr>
        <w:t>years of:</w:t>
      </w:r>
    </w:p>
    <w:p w14:paraId="0E2839C4" w14:textId="72BC8B47" w:rsidR="00662C8B" w:rsidRPr="00003083" w:rsidRDefault="00662C8B" w:rsidP="00662C8B">
      <w:pPr>
        <w:ind w:left="-5" w:firstLine="5"/>
        <w:rPr>
          <w:rFonts w:ascii="Calibri" w:eastAsia="Calibri" w:hAnsi="Calibri" w:cs="Calibri"/>
          <w:color w:val="000000"/>
          <w:sz w:val="22"/>
          <w:szCs w:val="22"/>
          <w:lang w:val="mi-NZ" w:eastAsia="en-NZ"/>
        </w:rPr>
      </w:pPr>
      <w:r w:rsidRPr="00003083">
        <w:rPr>
          <w:rFonts w:ascii="Calibri" w:eastAsia="Calibri" w:hAnsi="Calibri" w:cs="Calibri"/>
          <w:color w:val="000000"/>
          <w:sz w:val="22"/>
          <w:szCs w:val="22"/>
          <w:lang w:val="mi-NZ" w:eastAsia="en-NZ"/>
        </w:rPr>
        <w:t xml:space="preserve"> </w:t>
      </w:r>
    </w:p>
    <w:p w14:paraId="383CBBEA" w14:textId="2EF52EF4" w:rsidR="00662C8B" w:rsidRDefault="00662C8B" w:rsidP="00662C8B">
      <w:pPr>
        <w:pStyle w:val="ListParagraph"/>
        <w:numPr>
          <w:ilvl w:val="0"/>
          <w:numId w:val="15"/>
        </w:numPr>
        <w:spacing w:after="70" w:line="276" w:lineRule="auto"/>
        <w:ind w:left="567" w:hanging="567"/>
        <w:rPr>
          <w:rFonts w:asciiTheme="minorHAnsi" w:hAnsiTheme="minorHAnsi"/>
          <w:color w:val="auto"/>
        </w:rPr>
      </w:pPr>
      <w:r>
        <w:rPr>
          <w:rFonts w:asciiTheme="minorHAnsi" w:hAnsiTheme="minorHAnsi"/>
          <w:color w:val="auto"/>
        </w:rPr>
        <w:t xml:space="preserve">the range and scope of the Unit’s services and </w:t>
      </w:r>
      <w:proofErr w:type="gramStart"/>
      <w:r w:rsidR="00C41DD5">
        <w:rPr>
          <w:rFonts w:asciiTheme="minorHAnsi" w:hAnsiTheme="minorHAnsi"/>
          <w:color w:val="auto"/>
        </w:rPr>
        <w:t>activities;</w:t>
      </w:r>
      <w:proofErr w:type="gramEnd"/>
    </w:p>
    <w:p w14:paraId="0D01E431" w14:textId="77777777" w:rsidR="00662C8B" w:rsidRDefault="00662C8B" w:rsidP="00662C8B">
      <w:pPr>
        <w:pStyle w:val="ListParagraph"/>
        <w:numPr>
          <w:ilvl w:val="0"/>
          <w:numId w:val="15"/>
        </w:numPr>
        <w:spacing w:after="70" w:line="276" w:lineRule="auto"/>
        <w:ind w:left="567" w:hanging="567"/>
        <w:rPr>
          <w:rFonts w:asciiTheme="minorHAnsi" w:hAnsiTheme="minorHAnsi"/>
          <w:color w:val="auto"/>
        </w:rPr>
      </w:pPr>
      <w:r>
        <w:rPr>
          <w:rFonts w:asciiTheme="minorHAnsi" w:hAnsiTheme="minorHAnsi"/>
          <w:color w:val="auto"/>
        </w:rPr>
        <w:t xml:space="preserve">the identification of key stakeholders (including internal and external clients), the services and activities provided to meet their needs, including the provision of appropriate information and </w:t>
      </w:r>
      <w:proofErr w:type="gramStart"/>
      <w:r>
        <w:rPr>
          <w:rFonts w:asciiTheme="minorHAnsi" w:hAnsiTheme="minorHAnsi"/>
          <w:color w:val="auto"/>
        </w:rPr>
        <w:t>materials;</w:t>
      </w:r>
      <w:proofErr w:type="gramEnd"/>
    </w:p>
    <w:p w14:paraId="1C9BD9A9" w14:textId="7146E902" w:rsidR="00662C8B" w:rsidRDefault="00662C8B" w:rsidP="00662C8B">
      <w:pPr>
        <w:pStyle w:val="ListParagraph"/>
        <w:numPr>
          <w:ilvl w:val="0"/>
          <w:numId w:val="15"/>
        </w:numPr>
        <w:spacing w:after="70" w:line="276" w:lineRule="auto"/>
        <w:ind w:left="567" w:hanging="567"/>
        <w:rPr>
          <w:rFonts w:asciiTheme="minorHAnsi" w:hAnsiTheme="minorHAnsi"/>
          <w:color w:val="auto"/>
        </w:rPr>
      </w:pPr>
      <w:r>
        <w:rPr>
          <w:rFonts w:asciiTheme="minorHAnsi" w:hAnsiTheme="minorHAnsi"/>
          <w:color w:val="auto"/>
        </w:rPr>
        <w:t>the processes and procedures for monitoring and improving the quality</w:t>
      </w:r>
      <w:r w:rsidR="00C41DD5">
        <w:rPr>
          <w:rFonts w:asciiTheme="minorHAnsi" w:hAnsiTheme="minorHAnsi"/>
          <w:color w:val="auto"/>
        </w:rPr>
        <w:t>, efficiency and effectiveness</w:t>
      </w:r>
      <w:r>
        <w:rPr>
          <w:rFonts w:asciiTheme="minorHAnsi" w:hAnsiTheme="minorHAnsi"/>
          <w:color w:val="auto"/>
        </w:rPr>
        <w:t xml:space="preserve"> of services and activities</w:t>
      </w:r>
      <w:r w:rsidR="00C41DD5">
        <w:rPr>
          <w:rFonts w:asciiTheme="minorHAnsi" w:hAnsiTheme="minorHAnsi"/>
          <w:color w:val="auto"/>
        </w:rPr>
        <w:t>.</w:t>
      </w:r>
    </w:p>
    <w:p w14:paraId="75AC0FFC" w14:textId="77777777" w:rsidR="00662C8B" w:rsidRDefault="00662C8B" w:rsidP="00662C8B">
      <w:pPr>
        <w:contextualSpacing/>
        <w:rPr>
          <w:rFonts w:ascii="Calibri" w:hAnsi="Calibri"/>
          <w:sz w:val="22"/>
          <w:u w:val="single" w:color="000000"/>
        </w:rPr>
      </w:pPr>
    </w:p>
    <w:p w14:paraId="64EE33C0" w14:textId="77777777" w:rsidR="00662C8B" w:rsidRDefault="00662C8B" w:rsidP="00662C8B">
      <w:pPr>
        <w:ind w:left="-6" w:hanging="11"/>
        <w:contextualSpacing/>
        <w:rPr>
          <w:rFonts w:asciiTheme="minorHAnsi" w:hAnsiTheme="minorHAnsi"/>
          <w:b/>
        </w:rPr>
      </w:pPr>
      <w:r>
        <w:rPr>
          <w:rFonts w:asciiTheme="minorHAnsi" w:hAnsiTheme="minorHAnsi"/>
          <w:b/>
        </w:rPr>
        <w:t>Administration and Organisational Resources</w:t>
      </w:r>
    </w:p>
    <w:p w14:paraId="21443AAC" w14:textId="71810F85" w:rsidR="00662C8B" w:rsidRDefault="00662C8B" w:rsidP="00662C8B">
      <w:pPr>
        <w:spacing w:after="70"/>
        <w:ind w:left="-5" w:firstLine="5"/>
        <w:rPr>
          <w:rFonts w:asciiTheme="minorHAnsi" w:hAnsiTheme="minorHAnsi"/>
          <w:sz w:val="22"/>
        </w:rPr>
      </w:pPr>
      <w:r>
        <w:rPr>
          <w:rFonts w:asciiTheme="minorHAnsi" w:hAnsiTheme="minorHAnsi"/>
          <w:sz w:val="22"/>
        </w:rPr>
        <w:t xml:space="preserve">In relation to organisation culture, administration and operational processes, to review, evaluate and identify opportunities for development over the next five </w:t>
      </w:r>
      <w:r w:rsidR="00C41DD5">
        <w:rPr>
          <w:rFonts w:asciiTheme="minorHAnsi" w:hAnsiTheme="minorHAnsi"/>
          <w:sz w:val="22"/>
        </w:rPr>
        <w:t xml:space="preserve">to ten </w:t>
      </w:r>
      <w:r>
        <w:rPr>
          <w:rFonts w:asciiTheme="minorHAnsi" w:hAnsiTheme="minorHAnsi"/>
          <w:sz w:val="22"/>
        </w:rPr>
        <w:t>years of:</w:t>
      </w:r>
    </w:p>
    <w:p w14:paraId="7F3D42DF" w14:textId="77777777" w:rsidR="00BE47F3" w:rsidRPr="00BE47F3" w:rsidRDefault="00BE47F3" w:rsidP="00BE47F3">
      <w:pPr>
        <w:ind w:left="-5" w:firstLine="5"/>
        <w:rPr>
          <w:rFonts w:asciiTheme="minorHAnsi" w:hAnsiTheme="minorHAnsi"/>
          <w:sz w:val="16"/>
          <w:szCs w:val="16"/>
        </w:rPr>
      </w:pPr>
    </w:p>
    <w:p w14:paraId="518B9DDE" w14:textId="3D6FE567" w:rsidR="00662C8B" w:rsidRDefault="00662C8B" w:rsidP="00662C8B">
      <w:pPr>
        <w:numPr>
          <w:ilvl w:val="0"/>
          <w:numId w:val="16"/>
        </w:numPr>
        <w:spacing w:after="70" w:line="247" w:lineRule="auto"/>
        <w:ind w:hanging="567"/>
        <w:jc w:val="both"/>
        <w:rPr>
          <w:rFonts w:asciiTheme="minorHAnsi" w:hAnsiTheme="minorHAnsi"/>
          <w:sz w:val="22"/>
        </w:rPr>
      </w:pPr>
      <w:r>
        <w:rPr>
          <w:rFonts w:asciiTheme="minorHAnsi" w:hAnsiTheme="minorHAnsi"/>
          <w:sz w:val="22"/>
        </w:rPr>
        <w:t xml:space="preserve">structure and management – including </w:t>
      </w:r>
      <w:r w:rsidR="00C41DD5">
        <w:rPr>
          <w:rFonts w:asciiTheme="minorHAnsi" w:hAnsiTheme="minorHAnsi"/>
          <w:sz w:val="22"/>
        </w:rPr>
        <w:t xml:space="preserve">the Unit’s relationship to the </w:t>
      </w:r>
      <w:r w:rsidR="00FC27BB">
        <w:rPr>
          <w:rFonts w:asciiTheme="minorHAnsi" w:hAnsiTheme="minorHAnsi"/>
          <w:sz w:val="22"/>
        </w:rPr>
        <w:t>University’s</w:t>
      </w:r>
      <w:r>
        <w:rPr>
          <w:rFonts w:asciiTheme="minorHAnsi" w:hAnsiTheme="minorHAnsi"/>
          <w:sz w:val="22"/>
        </w:rPr>
        <w:t xml:space="preserve"> </w:t>
      </w:r>
      <w:r w:rsidR="00C41DD5">
        <w:rPr>
          <w:rFonts w:asciiTheme="minorHAnsi" w:hAnsiTheme="minorHAnsi"/>
          <w:sz w:val="22"/>
        </w:rPr>
        <w:t>structure</w:t>
      </w:r>
      <w:r>
        <w:rPr>
          <w:rFonts w:asciiTheme="minorHAnsi" w:hAnsiTheme="minorHAnsi"/>
          <w:sz w:val="22"/>
        </w:rPr>
        <w:t xml:space="preserve">; </w:t>
      </w:r>
      <w:r w:rsidR="00FC27BB">
        <w:rPr>
          <w:rFonts w:asciiTheme="minorHAnsi" w:hAnsiTheme="minorHAnsi"/>
          <w:sz w:val="22"/>
        </w:rPr>
        <w:t>relationship to, and liaison with,</w:t>
      </w:r>
      <w:r>
        <w:rPr>
          <w:rFonts w:asciiTheme="minorHAnsi" w:hAnsiTheme="minorHAnsi"/>
          <w:sz w:val="22"/>
        </w:rPr>
        <w:t xml:space="preserve"> central services; leadership </w:t>
      </w:r>
      <w:proofErr w:type="gramStart"/>
      <w:r>
        <w:rPr>
          <w:rFonts w:asciiTheme="minorHAnsi" w:hAnsiTheme="minorHAnsi"/>
          <w:sz w:val="22"/>
        </w:rPr>
        <w:t>in regard to</w:t>
      </w:r>
      <w:proofErr w:type="gramEnd"/>
      <w:r>
        <w:rPr>
          <w:rFonts w:asciiTheme="minorHAnsi" w:hAnsiTheme="minorHAnsi"/>
          <w:sz w:val="22"/>
        </w:rPr>
        <w:t xml:space="preserve"> developing and maintaining the professional standing and reputation of the </w:t>
      </w:r>
      <w:proofErr w:type="gramStart"/>
      <w:r>
        <w:rPr>
          <w:rFonts w:asciiTheme="minorHAnsi" w:hAnsiTheme="minorHAnsi"/>
          <w:sz w:val="22"/>
        </w:rPr>
        <w:t>Uni</w:t>
      </w:r>
      <w:r w:rsidR="00C41DD5">
        <w:rPr>
          <w:rFonts w:asciiTheme="minorHAnsi" w:hAnsiTheme="minorHAnsi"/>
          <w:sz w:val="22"/>
        </w:rPr>
        <w:t>t</w:t>
      </w:r>
      <w:r>
        <w:rPr>
          <w:rFonts w:asciiTheme="minorHAnsi" w:hAnsiTheme="minorHAnsi"/>
          <w:sz w:val="22"/>
        </w:rPr>
        <w:t>;</w:t>
      </w:r>
      <w:proofErr w:type="gramEnd"/>
    </w:p>
    <w:p w14:paraId="1100EAE5" w14:textId="77777777" w:rsidR="00662C8B" w:rsidRDefault="00662C8B" w:rsidP="00662C8B">
      <w:pPr>
        <w:numPr>
          <w:ilvl w:val="0"/>
          <w:numId w:val="16"/>
        </w:numPr>
        <w:spacing w:after="70" w:line="247" w:lineRule="auto"/>
        <w:ind w:hanging="567"/>
        <w:jc w:val="both"/>
        <w:rPr>
          <w:rFonts w:asciiTheme="minorHAnsi" w:hAnsiTheme="minorHAnsi"/>
          <w:sz w:val="22"/>
        </w:rPr>
      </w:pPr>
      <w:r>
        <w:rPr>
          <w:rFonts w:asciiTheme="minorHAnsi" w:hAnsiTheme="minorHAnsi"/>
          <w:sz w:val="22"/>
        </w:rPr>
        <w:t>planning – including identifying, considering and responding to problems and challenges; awareness of</w:t>
      </w:r>
      <w:r>
        <w:rPr>
          <w:rFonts w:asciiTheme="minorHAnsi" w:hAnsiTheme="minorHAnsi"/>
          <w:sz w:val="22"/>
          <w:u w:val="single"/>
        </w:rPr>
        <w:t xml:space="preserve"> </w:t>
      </w:r>
      <w:r>
        <w:rPr>
          <w:rFonts w:asciiTheme="minorHAnsi" w:hAnsiTheme="minorHAnsi"/>
          <w:sz w:val="22"/>
        </w:rPr>
        <w:t xml:space="preserve">the constraints acting on the University’s resources </w:t>
      </w:r>
    </w:p>
    <w:p w14:paraId="6B4007DD" w14:textId="23A0C1D2" w:rsidR="00662C8B" w:rsidRDefault="00662C8B" w:rsidP="00662C8B">
      <w:pPr>
        <w:numPr>
          <w:ilvl w:val="0"/>
          <w:numId w:val="16"/>
        </w:numPr>
        <w:spacing w:after="70" w:line="247" w:lineRule="auto"/>
        <w:ind w:hanging="567"/>
        <w:jc w:val="both"/>
        <w:rPr>
          <w:rFonts w:asciiTheme="minorHAnsi" w:hAnsiTheme="minorHAnsi"/>
          <w:sz w:val="22"/>
        </w:rPr>
      </w:pPr>
      <w:r>
        <w:rPr>
          <w:rFonts w:asciiTheme="minorHAnsi" w:hAnsiTheme="minorHAnsi"/>
          <w:sz w:val="22"/>
        </w:rPr>
        <w:t xml:space="preserve">monitoring and evaluation – including effective use of surveys, consultation and liaison with staff, students and other members of the </w:t>
      </w:r>
      <w:r w:rsidR="00EF5904">
        <w:rPr>
          <w:rFonts w:asciiTheme="minorHAnsi" w:hAnsiTheme="minorHAnsi"/>
          <w:sz w:val="22"/>
        </w:rPr>
        <w:t>U</w:t>
      </w:r>
      <w:r>
        <w:rPr>
          <w:rFonts w:asciiTheme="minorHAnsi" w:hAnsiTheme="minorHAnsi"/>
          <w:sz w:val="22"/>
        </w:rPr>
        <w:t xml:space="preserve">niversity and wider community, incorporating feedback into planning, core activities and operations, identifying and making improvements to the core </w:t>
      </w:r>
      <w:proofErr w:type="gramStart"/>
      <w:r>
        <w:rPr>
          <w:rFonts w:asciiTheme="minorHAnsi" w:hAnsiTheme="minorHAnsi"/>
          <w:sz w:val="22"/>
        </w:rPr>
        <w:t>activities;</w:t>
      </w:r>
      <w:proofErr w:type="gramEnd"/>
      <w:r>
        <w:rPr>
          <w:rFonts w:asciiTheme="minorHAnsi" w:hAnsiTheme="minorHAnsi"/>
          <w:sz w:val="22"/>
        </w:rPr>
        <w:t xml:space="preserve"> </w:t>
      </w:r>
    </w:p>
    <w:p w14:paraId="127A9DBA" w14:textId="1FC81886" w:rsidR="00662C8B" w:rsidRDefault="00662C8B" w:rsidP="00662C8B">
      <w:pPr>
        <w:numPr>
          <w:ilvl w:val="0"/>
          <w:numId w:val="16"/>
        </w:numPr>
        <w:spacing w:after="70" w:line="249" w:lineRule="auto"/>
        <w:ind w:hanging="567"/>
        <w:jc w:val="both"/>
        <w:rPr>
          <w:rFonts w:asciiTheme="minorHAnsi" w:hAnsiTheme="minorHAnsi"/>
          <w:sz w:val="22"/>
        </w:rPr>
      </w:pPr>
      <w:r>
        <w:rPr>
          <w:rFonts w:asciiTheme="minorHAnsi" w:hAnsiTheme="minorHAnsi"/>
          <w:sz w:val="22"/>
        </w:rPr>
        <w:t xml:space="preserve">workload - the processes for ensuring an appropriate workload balance for all </w:t>
      </w:r>
      <w:r w:rsidR="00C41DD5">
        <w:rPr>
          <w:rFonts w:asciiTheme="minorHAnsi" w:hAnsiTheme="minorHAnsi"/>
          <w:sz w:val="22"/>
        </w:rPr>
        <w:t>Unit</w:t>
      </w:r>
      <w:r>
        <w:rPr>
          <w:rFonts w:asciiTheme="minorHAnsi" w:hAnsiTheme="minorHAnsi"/>
          <w:sz w:val="22"/>
        </w:rPr>
        <w:t xml:space="preserve"> staff</w:t>
      </w:r>
      <w:r w:rsidR="00C41DD5">
        <w:rPr>
          <w:rFonts w:asciiTheme="minorHAnsi" w:hAnsiTheme="minorHAnsi"/>
          <w:sz w:val="22"/>
        </w:rPr>
        <w:t xml:space="preserve"> and</w:t>
      </w:r>
      <w:r>
        <w:rPr>
          <w:rFonts w:asciiTheme="minorHAnsi" w:hAnsiTheme="minorHAnsi"/>
          <w:sz w:val="22"/>
        </w:rPr>
        <w:t xml:space="preserve"> </w:t>
      </w:r>
      <w:r w:rsidR="00C41DD5">
        <w:rPr>
          <w:rFonts w:asciiTheme="minorHAnsi" w:hAnsiTheme="minorHAnsi"/>
          <w:sz w:val="22"/>
        </w:rPr>
        <w:t xml:space="preserve">ensuring employee </w:t>
      </w:r>
      <w:proofErr w:type="gramStart"/>
      <w:r w:rsidR="00C41DD5">
        <w:rPr>
          <w:rFonts w:asciiTheme="minorHAnsi" w:hAnsiTheme="minorHAnsi"/>
          <w:sz w:val="22"/>
        </w:rPr>
        <w:t>capability;</w:t>
      </w:r>
      <w:proofErr w:type="gramEnd"/>
    </w:p>
    <w:p w14:paraId="0501A68A" w14:textId="2AC2B25C" w:rsidR="00662C8B" w:rsidRPr="00003083" w:rsidRDefault="00662C8B" w:rsidP="00662C8B">
      <w:pPr>
        <w:numPr>
          <w:ilvl w:val="0"/>
          <w:numId w:val="16"/>
        </w:numPr>
        <w:spacing w:line="247" w:lineRule="auto"/>
        <w:ind w:hanging="567"/>
        <w:jc w:val="both"/>
        <w:rPr>
          <w:rFonts w:asciiTheme="minorHAnsi" w:hAnsiTheme="minorHAnsi"/>
          <w:sz w:val="22"/>
        </w:rPr>
      </w:pPr>
      <w:r w:rsidRPr="00003083">
        <w:rPr>
          <w:rFonts w:asciiTheme="minorHAnsi" w:hAnsiTheme="minorHAnsi"/>
          <w:sz w:val="22"/>
        </w:rPr>
        <w:t xml:space="preserve">physical and IT resources, including planning for purchase and replacement of equipment </w:t>
      </w:r>
      <w:r w:rsidR="00BD1365">
        <w:rPr>
          <w:rFonts w:asciiTheme="minorHAnsi" w:hAnsiTheme="minorHAnsi"/>
          <w:sz w:val="22"/>
        </w:rPr>
        <w:t xml:space="preserve">and updating </w:t>
      </w:r>
      <w:proofErr w:type="gramStart"/>
      <w:r w:rsidR="00BD1365">
        <w:rPr>
          <w:rFonts w:asciiTheme="minorHAnsi" w:hAnsiTheme="minorHAnsi"/>
          <w:sz w:val="22"/>
        </w:rPr>
        <w:t>systems;</w:t>
      </w:r>
      <w:proofErr w:type="gramEnd"/>
    </w:p>
    <w:p w14:paraId="2B5EB7ED" w14:textId="29C988AD" w:rsidR="00662C8B" w:rsidRDefault="00BD1365" w:rsidP="00662C8B">
      <w:pPr>
        <w:numPr>
          <w:ilvl w:val="0"/>
          <w:numId w:val="16"/>
        </w:numPr>
        <w:spacing w:after="70" w:line="247" w:lineRule="auto"/>
        <w:ind w:hanging="567"/>
        <w:jc w:val="both"/>
        <w:rPr>
          <w:rFonts w:asciiTheme="minorHAnsi" w:hAnsiTheme="minorHAnsi"/>
          <w:sz w:val="22"/>
        </w:rPr>
      </w:pPr>
      <w:r>
        <w:rPr>
          <w:rFonts w:asciiTheme="minorHAnsi" w:hAnsiTheme="minorHAnsi"/>
          <w:sz w:val="22"/>
        </w:rPr>
        <w:t xml:space="preserve">meeting </w:t>
      </w:r>
      <w:r w:rsidR="00662C8B">
        <w:rPr>
          <w:rFonts w:asciiTheme="minorHAnsi" w:hAnsiTheme="minorHAnsi"/>
          <w:sz w:val="22"/>
        </w:rPr>
        <w:t>health</w:t>
      </w:r>
      <w:r>
        <w:rPr>
          <w:rFonts w:asciiTheme="minorHAnsi" w:hAnsiTheme="minorHAnsi"/>
          <w:sz w:val="22"/>
        </w:rPr>
        <w:t>, s</w:t>
      </w:r>
      <w:r w:rsidR="00662C8B">
        <w:rPr>
          <w:rFonts w:asciiTheme="minorHAnsi" w:hAnsiTheme="minorHAnsi"/>
          <w:sz w:val="22"/>
        </w:rPr>
        <w:t>afety</w:t>
      </w:r>
      <w:r>
        <w:rPr>
          <w:rFonts w:asciiTheme="minorHAnsi" w:hAnsiTheme="minorHAnsi"/>
          <w:sz w:val="22"/>
        </w:rPr>
        <w:t xml:space="preserve"> and compliance regulations</w:t>
      </w:r>
      <w:r w:rsidR="00EF5904">
        <w:rPr>
          <w:rFonts w:asciiTheme="minorHAnsi" w:hAnsiTheme="minorHAnsi"/>
          <w:sz w:val="22"/>
        </w:rPr>
        <w:t xml:space="preserve"> and </w:t>
      </w:r>
      <w:proofErr w:type="gramStart"/>
      <w:r w:rsidR="00EF5904">
        <w:rPr>
          <w:rFonts w:asciiTheme="minorHAnsi" w:hAnsiTheme="minorHAnsi"/>
          <w:sz w:val="22"/>
        </w:rPr>
        <w:t>requirements</w:t>
      </w:r>
      <w:r w:rsidR="00662C8B">
        <w:rPr>
          <w:rFonts w:asciiTheme="minorHAnsi" w:hAnsiTheme="minorHAnsi"/>
          <w:sz w:val="22"/>
        </w:rPr>
        <w:t>;</w:t>
      </w:r>
      <w:proofErr w:type="gramEnd"/>
      <w:r w:rsidR="00662C8B">
        <w:rPr>
          <w:rFonts w:asciiTheme="minorHAnsi" w:hAnsiTheme="minorHAnsi"/>
          <w:sz w:val="22"/>
        </w:rPr>
        <w:t xml:space="preserve"> </w:t>
      </w:r>
    </w:p>
    <w:p w14:paraId="6BC2D6FC" w14:textId="0E9D47F9" w:rsidR="00662C8B" w:rsidRPr="00EF5904" w:rsidRDefault="00C41DD5" w:rsidP="00C61BA1">
      <w:pPr>
        <w:numPr>
          <w:ilvl w:val="0"/>
          <w:numId w:val="16"/>
        </w:numPr>
        <w:spacing w:after="70" w:line="247" w:lineRule="auto"/>
        <w:ind w:hanging="567"/>
        <w:jc w:val="both"/>
        <w:rPr>
          <w:rFonts w:asciiTheme="minorHAnsi" w:hAnsiTheme="minorHAnsi"/>
          <w:sz w:val="22"/>
        </w:rPr>
      </w:pPr>
      <w:r w:rsidRPr="00EF5904">
        <w:rPr>
          <w:rFonts w:asciiTheme="minorHAnsi" w:hAnsiTheme="minorHAnsi"/>
          <w:sz w:val="22"/>
        </w:rPr>
        <w:t>cultural norms that foster joint effort towards shared goals</w:t>
      </w:r>
      <w:r w:rsidR="00EF5904">
        <w:rPr>
          <w:rFonts w:asciiTheme="minorHAnsi" w:hAnsiTheme="minorHAnsi"/>
          <w:sz w:val="22"/>
        </w:rPr>
        <w:t xml:space="preserve"> and </w:t>
      </w:r>
      <w:r w:rsidR="00BD1365" w:rsidRPr="00EF5904">
        <w:rPr>
          <w:rFonts w:asciiTheme="minorHAnsi" w:hAnsiTheme="minorHAnsi"/>
          <w:sz w:val="22"/>
        </w:rPr>
        <w:t>r</w:t>
      </w:r>
      <w:r w:rsidR="00662C8B" w:rsidRPr="00EF5904">
        <w:rPr>
          <w:rFonts w:asciiTheme="minorHAnsi" w:hAnsiTheme="minorHAnsi"/>
          <w:sz w:val="22"/>
        </w:rPr>
        <w:t>espect for the University’s core values including collegiality and collaboration; ethical standards; equity and social justice; and stewardship of the University’s reputation, assets and intellectual capital</w:t>
      </w:r>
      <w:r w:rsidR="00BD1365" w:rsidRPr="00EF5904">
        <w:rPr>
          <w:rFonts w:asciiTheme="minorHAnsi" w:hAnsiTheme="minorHAnsi"/>
          <w:sz w:val="22"/>
        </w:rPr>
        <w:t xml:space="preserve"> (as articulated by </w:t>
      </w:r>
      <w:proofErr w:type="spellStart"/>
      <w:r w:rsidR="00BD1365" w:rsidRPr="00EF5904">
        <w:rPr>
          <w:rFonts w:asciiTheme="minorHAnsi" w:hAnsiTheme="minorHAnsi"/>
          <w:sz w:val="22"/>
        </w:rPr>
        <w:t>Kā</w:t>
      </w:r>
      <w:proofErr w:type="spellEnd"/>
      <w:r w:rsidR="00BD1365" w:rsidRPr="00EF5904">
        <w:rPr>
          <w:rFonts w:asciiTheme="minorHAnsi" w:hAnsiTheme="minorHAnsi"/>
          <w:sz w:val="22"/>
        </w:rPr>
        <w:t xml:space="preserve"> </w:t>
      </w:r>
      <w:proofErr w:type="spellStart"/>
      <w:r w:rsidR="00BD1365" w:rsidRPr="00EF5904">
        <w:rPr>
          <w:rFonts w:asciiTheme="minorHAnsi" w:hAnsiTheme="minorHAnsi"/>
          <w:sz w:val="22"/>
        </w:rPr>
        <w:t>Mātāpono</w:t>
      </w:r>
      <w:proofErr w:type="spellEnd"/>
      <w:proofErr w:type="gramStart"/>
      <w:r w:rsidR="00BD1365" w:rsidRPr="00EF5904">
        <w:rPr>
          <w:rFonts w:asciiTheme="minorHAnsi" w:hAnsiTheme="minorHAnsi"/>
          <w:sz w:val="22"/>
        </w:rPr>
        <w:t>);</w:t>
      </w:r>
      <w:proofErr w:type="gramEnd"/>
      <w:r w:rsidR="00662C8B" w:rsidRPr="00EF5904">
        <w:rPr>
          <w:rFonts w:asciiTheme="minorHAnsi" w:hAnsiTheme="minorHAnsi"/>
          <w:sz w:val="22"/>
        </w:rPr>
        <w:t xml:space="preserve">  </w:t>
      </w:r>
    </w:p>
    <w:p w14:paraId="2CBE8439" w14:textId="77777777" w:rsidR="00662C8B" w:rsidRDefault="00662C8B" w:rsidP="00662C8B">
      <w:pPr>
        <w:numPr>
          <w:ilvl w:val="0"/>
          <w:numId w:val="16"/>
        </w:numPr>
        <w:spacing w:after="70" w:line="247" w:lineRule="auto"/>
        <w:ind w:hanging="567"/>
        <w:jc w:val="both"/>
        <w:rPr>
          <w:rFonts w:asciiTheme="minorHAnsi" w:hAnsiTheme="minorHAnsi"/>
          <w:sz w:val="22"/>
        </w:rPr>
      </w:pPr>
      <w:r>
        <w:rPr>
          <w:rFonts w:asciiTheme="minorHAnsi" w:hAnsiTheme="minorHAnsi"/>
          <w:sz w:val="22"/>
        </w:rPr>
        <w:t>alignment to Divisional and University plans and policies, including commitment to the goals of the University’s Māori Strategic Framework and Pacific Strategic Framework and its honouring of the Treaty of Waitangi.</w:t>
      </w:r>
    </w:p>
    <w:p w14:paraId="23E35028" w14:textId="5A888C86" w:rsidR="00662C8B" w:rsidRDefault="00662C8B" w:rsidP="00662C8B">
      <w:pPr>
        <w:numPr>
          <w:ilvl w:val="0"/>
          <w:numId w:val="16"/>
        </w:numPr>
        <w:spacing w:after="70" w:line="247" w:lineRule="auto"/>
        <w:ind w:hanging="567"/>
        <w:jc w:val="both"/>
        <w:rPr>
          <w:rFonts w:asciiTheme="minorHAnsi" w:hAnsiTheme="minorHAnsi"/>
          <w:sz w:val="22"/>
        </w:rPr>
      </w:pPr>
      <w:r>
        <w:rPr>
          <w:rFonts w:asciiTheme="minorHAnsi" w:hAnsiTheme="minorHAnsi"/>
          <w:sz w:val="22"/>
        </w:rPr>
        <w:t xml:space="preserve">sustainability – demonstrating practices across all core activities that promote sustainability, reduce the </w:t>
      </w:r>
      <w:r w:rsidR="00BD1365">
        <w:rPr>
          <w:rFonts w:asciiTheme="minorHAnsi" w:hAnsiTheme="minorHAnsi"/>
          <w:sz w:val="22"/>
        </w:rPr>
        <w:t>Unit’s</w:t>
      </w:r>
      <w:r>
        <w:rPr>
          <w:rFonts w:asciiTheme="minorHAnsi" w:hAnsiTheme="minorHAnsi"/>
          <w:sz w:val="22"/>
        </w:rPr>
        <w:t xml:space="preserve"> environmental footprint, improve resource efficiency and enhance the quality of life on campus. </w:t>
      </w:r>
    </w:p>
    <w:p w14:paraId="5BA32B07" w14:textId="77777777" w:rsidR="00BE47F3" w:rsidRDefault="00BE47F3" w:rsidP="00662C8B">
      <w:pPr>
        <w:spacing w:after="70"/>
        <w:ind w:left="-15"/>
        <w:rPr>
          <w:rFonts w:asciiTheme="minorHAnsi" w:hAnsiTheme="minorHAnsi"/>
          <w:sz w:val="22"/>
        </w:rPr>
      </w:pPr>
    </w:p>
    <w:p w14:paraId="7B039009" w14:textId="42DECDA9" w:rsidR="008706F5" w:rsidRDefault="00662C8B" w:rsidP="00EF5904">
      <w:pPr>
        <w:spacing w:after="70"/>
        <w:ind w:left="-15"/>
        <w:rPr>
          <w:rFonts w:asciiTheme="minorHAnsi" w:hAnsiTheme="minorHAnsi" w:cstheme="minorHAnsi"/>
        </w:rPr>
      </w:pPr>
      <w:r>
        <w:rPr>
          <w:rFonts w:asciiTheme="minorHAnsi" w:hAnsiTheme="minorHAnsi"/>
          <w:sz w:val="22"/>
        </w:rPr>
        <w:t>Any other aspect of the Unit considered appropriate by the Review Panel.</w:t>
      </w:r>
    </w:p>
    <w:sectPr w:rsidR="008706F5" w:rsidSect="00F356AF">
      <w:headerReference w:type="even" r:id="rId8"/>
      <w:headerReference w:type="default" r:id="rId9"/>
      <w:footerReference w:type="even" r:id="rId10"/>
      <w:footerReference w:type="default" r:id="rId11"/>
      <w:headerReference w:type="first" r:id="rId12"/>
      <w:footerReference w:type="first" r:id="rId13"/>
      <w:pgSz w:w="12240" w:h="15840"/>
      <w:pgMar w:top="568" w:right="1325"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046A6" w14:textId="77777777" w:rsidR="008531DE" w:rsidRDefault="008531DE">
      <w:r>
        <w:separator/>
      </w:r>
    </w:p>
  </w:endnote>
  <w:endnote w:type="continuationSeparator" w:id="0">
    <w:p w14:paraId="651A0223" w14:textId="77777777" w:rsidR="008531DE" w:rsidRDefault="008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A178" w14:textId="77777777" w:rsidR="00BD1365" w:rsidRDefault="00BD1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676F" w14:textId="77777777" w:rsidR="00BD1365" w:rsidRDefault="00BD13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B59A" w14:textId="77777777" w:rsidR="00BD1365" w:rsidRDefault="00BD1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0B17F" w14:textId="77777777" w:rsidR="008531DE" w:rsidRDefault="008531DE">
      <w:r>
        <w:separator/>
      </w:r>
    </w:p>
  </w:footnote>
  <w:footnote w:type="continuationSeparator" w:id="0">
    <w:p w14:paraId="7BD1B2CB" w14:textId="77777777" w:rsidR="008531DE" w:rsidRDefault="00853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E678" w14:textId="77777777" w:rsidR="00BD1365" w:rsidRDefault="00BD1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32BB8" w14:textId="27FEBF51" w:rsidR="00BD1365" w:rsidRDefault="00BD13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B0F8" w14:textId="77777777" w:rsidR="00BD1365" w:rsidRDefault="00BD13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0"/>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13637A7E"/>
    <w:multiLevelType w:val="hybridMultilevel"/>
    <w:tmpl w:val="8CFC0D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49D7662"/>
    <w:multiLevelType w:val="hybridMultilevel"/>
    <w:tmpl w:val="A2FE98EA"/>
    <w:lvl w:ilvl="0" w:tplc="FFFFFFFF">
      <w:start w:val="1"/>
      <w:numFmt w:val="lowerLetter"/>
      <w:lvlText w:val="(%1)"/>
      <w:lvlJc w:val="left"/>
      <w:pPr>
        <w:tabs>
          <w:tab w:val="num" w:pos="1574"/>
        </w:tabs>
        <w:ind w:left="1574" w:hanging="44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3506DC"/>
    <w:multiLevelType w:val="hybridMultilevel"/>
    <w:tmpl w:val="8CAAD3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9793328"/>
    <w:multiLevelType w:val="multilevel"/>
    <w:tmpl w:val="729E8D42"/>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
      <w:lvlJc w:val="left"/>
      <w:pPr>
        <w:tabs>
          <w:tab w:val="num" w:pos="1440"/>
        </w:tabs>
        <w:ind w:left="1440" w:hanging="360"/>
      </w:pPr>
      <w:rPr>
        <w:rFonts w:ascii="Symbol" w:hAnsi="Symbol" w:hint="default"/>
        <w:color w:val="auto"/>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9D4645"/>
    <w:multiLevelType w:val="hybridMultilevel"/>
    <w:tmpl w:val="FDA41F6E"/>
    <w:lvl w:ilvl="0" w:tplc="B3F8AE6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D9025CA"/>
    <w:multiLevelType w:val="hybridMultilevel"/>
    <w:tmpl w:val="729E8D42"/>
    <w:lvl w:ilvl="0" w:tplc="AB38320C">
      <w:start w:val="1"/>
      <w:numFmt w:val="bullet"/>
      <w:lvlText w:val=""/>
      <w:lvlJc w:val="left"/>
      <w:pPr>
        <w:tabs>
          <w:tab w:val="num" w:pos="720"/>
        </w:tabs>
        <w:ind w:left="720" w:hanging="360"/>
      </w:pPr>
      <w:rPr>
        <w:rFonts w:ascii="Wingdings" w:hAnsi="Wingdings" w:hint="default"/>
        <w:color w:val="auto"/>
        <w:sz w:val="20"/>
      </w:rPr>
    </w:lvl>
    <w:lvl w:ilvl="1" w:tplc="04090001">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8C3F53"/>
    <w:multiLevelType w:val="hybridMultilevel"/>
    <w:tmpl w:val="314828BC"/>
    <w:lvl w:ilvl="0" w:tplc="B3F8AE6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741DF6"/>
    <w:multiLevelType w:val="hybridMultilevel"/>
    <w:tmpl w:val="4DB23DF8"/>
    <w:lvl w:ilvl="0" w:tplc="E3666C0E">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0" w15:restartNumberingAfterBreak="0">
    <w:nsid w:val="381A0F8C"/>
    <w:multiLevelType w:val="hybridMultilevel"/>
    <w:tmpl w:val="3B7ED18C"/>
    <w:lvl w:ilvl="0" w:tplc="AB38320C">
      <w:start w:val="1"/>
      <w:numFmt w:val="bullet"/>
      <w:lvlText w:val=""/>
      <w:lvlJc w:val="left"/>
      <w:pPr>
        <w:tabs>
          <w:tab w:val="num" w:pos="720"/>
        </w:tabs>
        <w:ind w:left="720" w:hanging="360"/>
      </w:pPr>
      <w:rPr>
        <w:rFonts w:ascii="Wingdings" w:hAnsi="Wingdings" w:hint="default"/>
        <w:color w:val="auto"/>
        <w:sz w:val="20"/>
      </w:rPr>
    </w:lvl>
    <w:lvl w:ilvl="1" w:tplc="B3F8AE64">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643EC9"/>
    <w:multiLevelType w:val="hybridMultilevel"/>
    <w:tmpl w:val="55EE06B2"/>
    <w:lvl w:ilvl="0" w:tplc="501EED60">
      <w:start w:val="1"/>
      <w:numFmt w:val="bullet"/>
      <w:lvlText w:val="•"/>
      <w:lvlJc w:val="left"/>
      <w:pPr>
        <w:ind w:left="56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F1E0868">
      <w:start w:val="1"/>
      <w:numFmt w:val="bullet"/>
      <w:lvlText w:val="o"/>
      <w:lvlJc w:val="left"/>
      <w:pPr>
        <w:ind w:left="10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EAB6E11E">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E36057EE">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FFA569E">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8640AF18">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D5E89D50">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AB4ED62">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78EE9E60">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5C503E53"/>
    <w:multiLevelType w:val="hybridMultilevel"/>
    <w:tmpl w:val="214CBB8C"/>
    <w:lvl w:ilvl="0" w:tplc="14090001">
      <w:start w:val="1"/>
      <w:numFmt w:val="bullet"/>
      <w:lvlText w:val=""/>
      <w:lvlJc w:val="left"/>
      <w:pPr>
        <w:ind w:left="436" w:hanging="360"/>
      </w:pPr>
      <w:rPr>
        <w:rFonts w:ascii="Symbol" w:hAnsi="Symbol" w:hint="default"/>
      </w:rPr>
    </w:lvl>
    <w:lvl w:ilvl="1" w:tplc="14090003" w:tentative="1">
      <w:start w:val="1"/>
      <w:numFmt w:val="bullet"/>
      <w:lvlText w:val="o"/>
      <w:lvlJc w:val="left"/>
      <w:pPr>
        <w:ind w:left="1156" w:hanging="360"/>
      </w:pPr>
      <w:rPr>
        <w:rFonts w:ascii="Courier New" w:hAnsi="Courier New" w:cs="Courier New" w:hint="default"/>
      </w:rPr>
    </w:lvl>
    <w:lvl w:ilvl="2" w:tplc="14090005" w:tentative="1">
      <w:start w:val="1"/>
      <w:numFmt w:val="bullet"/>
      <w:lvlText w:val=""/>
      <w:lvlJc w:val="left"/>
      <w:pPr>
        <w:ind w:left="1876" w:hanging="360"/>
      </w:pPr>
      <w:rPr>
        <w:rFonts w:ascii="Wingdings" w:hAnsi="Wingdings" w:hint="default"/>
      </w:rPr>
    </w:lvl>
    <w:lvl w:ilvl="3" w:tplc="14090001" w:tentative="1">
      <w:start w:val="1"/>
      <w:numFmt w:val="bullet"/>
      <w:lvlText w:val=""/>
      <w:lvlJc w:val="left"/>
      <w:pPr>
        <w:ind w:left="2596" w:hanging="360"/>
      </w:pPr>
      <w:rPr>
        <w:rFonts w:ascii="Symbol" w:hAnsi="Symbol" w:hint="default"/>
      </w:rPr>
    </w:lvl>
    <w:lvl w:ilvl="4" w:tplc="14090003" w:tentative="1">
      <w:start w:val="1"/>
      <w:numFmt w:val="bullet"/>
      <w:lvlText w:val="o"/>
      <w:lvlJc w:val="left"/>
      <w:pPr>
        <w:ind w:left="3316" w:hanging="360"/>
      </w:pPr>
      <w:rPr>
        <w:rFonts w:ascii="Courier New" w:hAnsi="Courier New" w:cs="Courier New" w:hint="default"/>
      </w:rPr>
    </w:lvl>
    <w:lvl w:ilvl="5" w:tplc="14090005" w:tentative="1">
      <w:start w:val="1"/>
      <w:numFmt w:val="bullet"/>
      <w:lvlText w:val=""/>
      <w:lvlJc w:val="left"/>
      <w:pPr>
        <w:ind w:left="4036" w:hanging="360"/>
      </w:pPr>
      <w:rPr>
        <w:rFonts w:ascii="Wingdings" w:hAnsi="Wingdings" w:hint="default"/>
      </w:rPr>
    </w:lvl>
    <w:lvl w:ilvl="6" w:tplc="14090001" w:tentative="1">
      <w:start w:val="1"/>
      <w:numFmt w:val="bullet"/>
      <w:lvlText w:val=""/>
      <w:lvlJc w:val="left"/>
      <w:pPr>
        <w:ind w:left="4756" w:hanging="360"/>
      </w:pPr>
      <w:rPr>
        <w:rFonts w:ascii="Symbol" w:hAnsi="Symbol" w:hint="default"/>
      </w:rPr>
    </w:lvl>
    <w:lvl w:ilvl="7" w:tplc="14090003" w:tentative="1">
      <w:start w:val="1"/>
      <w:numFmt w:val="bullet"/>
      <w:lvlText w:val="o"/>
      <w:lvlJc w:val="left"/>
      <w:pPr>
        <w:ind w:left="5476" w:hanging="360"/>
      </w:pPr>
      <w:rPr>
        <w:rFonts w:ascii="Courier New" w:hAnsi="Courier New" w:cs="Courier New" w:hint="default"/>
      </w:rPr>
    </w:lvl>
    <w:lvl w:ilvl="8" w:tplc="14090005" w:tentative="1">
      <w:start w:val="1"/>
      <w:numFmt w:val="bullet"/>
      <w:lvlText w:val=""/>
      <w:lvlJc w:val="left"/>
      <w:pPr>
        <w:ind w:left="6196" w:hanging="360"/>
      </w:pPr>
      <w:rPr>
        <w:rFonts w:ascii="Wingdings" w:hAnsi="Wingdings" w:hint="default"/>
      </w:rPr>
    </w:lvl>
  </w:abstractNum>
  <w:abstractNum w:abstractNumId="13" w15:restartNumberingAfterBreak="0">
    <w:nsid w:val="62B16A06"/>
    <w:multiLevelType w:val="hybridMultilevel"/>
    <w:tmpl w:val="4D4235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07044E7"/>
    <w:multiLevelType w:val="hybridMultilevel"/>
    <w:tmpl w:val="1102B61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026"/>
        </w:tabs>
        <w:ind w:left="1026" w:hanging="360"/>
      </w:pPr>
      <w:rPr>
        <w:rFonts w:ascii="Symbol" w:hAnsi="Symbol" w:hint="default"/>
      </w:rPr>
    </w:lvl>
    <w:lvl w:ilvl="2" w:tplc="0409001B" w:tentative="1">
      <w:start w:val="1"/>
      <w:numFmt w:val="lowerRoman"/>
      <w:lvlText w:val="%3."/>
      <w:lvlJc w:val="right"/>
      <w:pPr>
        <w:tabs>
          <w:tab w:val="num" w:pos="1746"/>
        </w:tabs>
        <w:ind w:left="1746" w:hanging="180"/>
      </w:pPr>
    </w:lvl>
    <w:lvl w:ilvl="3" w:tplc="0409000F" w:tentative="1">
      <w:start w:val="1"/>
      <w:numFmt w:val="decimal"/>
      <w:lvlText w:val="%4."/>
      <w:lvlJc w:val="left"/>
      <w:pPr>
        <w:tabs>
          <w:tab w:val="num" w:pos="2466"/>
        </w:tabs>
        <w:ind w:left="2466" w:hanging="360"/>
      </w:pPr>
    </w:lvl>
    <w:lvl w:ilvl="4" w:tplc="04090019" w:tentative="1">
      <w:start w:val="1"/>
      <w:numFmt w:val="lowerLetter"/>
      <w:lvlText w:val="%5."/>
      <w:lvlJc w:val="left"/>
      <w:pPr>
        <w:tabs>
          <w:tab w:val="num" w:pos="3186"/>
        </w:tabs>
        <w:ind w:left="3186" w:hanging="360"/>
      </w:pPr>
    </w:lvl>
    <w:lvl w:ilvl="5" w:tplc="0409001B" w:tentative="1">
      <w:start w:val="1"/>
      <w:numFmt w:val="lowerRoman"/>
      <w:lvlText w:val="%6."/>
      <w:lvlJc w:val="right"/>
      <w:pPr>
        <w:tabs>
          <w:tab w:val="num" w:pos="3906"/>
        </w:tabs>
        <w:ind w:left="3906" w:hanging="180"/>
      </w:pPr>
    </w:lvl>
    <w:lvl w:ilvl="6" w:tplc="0409000F" w:tentative="1">
      <w:start w:val="1"/>
      <w:numFmt w:val="decimal"/>
      <w:lvlText w:val="%7."/>
      <w:lvlJc w:val="left"/>
      <w:pPr>
        <w:tabs>
          <w:tab w:val="num" w:pos="4626"/>
        </w:tabs>
        <w:ind w:left="4626" w:hanging="360"/>
      </w:pPr>
    </w:lvl>
    <w:lvl w:ilvl="7" w:tplc="04090019" w:tentative="1">
      <w:start w:val="1"/>
      <w:numFmt w:val="lowerLetter"/>
      <w:lvlText w:val="%8."/>
      <w:lvlJc w:val="left"/>
      <w:pPr>
        <w:tabs>
          <w:tab w:val="num" w:pos="5346"/>
        </w:tabs>
        <w:ind w:left="5346" w:hanging="360"/>
      </w:pPr>
    </w:lvl>
    <w:lvl w:ilvl="8" w:tplc="0409001B" w:tentative="1">
      <w:start w:val="1"/>
      <w:numFmt w:val="lowerRoman"/>
      <w:lvlText w:val="%9."/>
      <w:lvlJc w:val="right"/>
      <w:pPr>
        <w:tabs>
          <w:tab w:val="num" w:pos="6066"/>
        </w:tabs>
        <w:ind w:left="6066" w:hanging="180"/>
      </w:pPr>
    </w:lvl>
  </w:abstractNum>
  <w:abstractNum w:abstractNumId="15" w15:restartNumberingAfterBreak="0">
    <w:nsid w:val="7AAF5C86"/>
    <w:multiLevelType w:val="hybridMultilevel"/>
    <w:tmpl w:val="3D869A74"/>
    <w:lvl w:ilvl="0" w:tplc="14090001">
      <w:start w:val="1"/>
      <w:numFmt w:val="bullet"/>
      <w:lvlText w:val=""/>
      <w:lvlJc w:val="left"/>
      <w:pPr>
        <w:ind w:left="436" w:hanging="360"/>
      </w:pPr>
      <w:rPr>
        <w:rFonts w:ascii="Symbol" w:hAnsi="Symbol" w:hint="default"/>
      </w:rPr>
    </w:lvl>
    <w:lvl w:ilvl="1" w:tplc="14090003" w:tentative="1">
      <w:start w:val="1"/>
      <w:numFmt w:val="bullet"/>
      <w:lvlText w:val="o"/>
      <w:lvlJc w:val="left"/>
      <w:pPr>
        <w:ind w:left="1156" w:hanging="360"/>
      </w:pPr>
      <w:rPr>
        <w:rFonts w:ascii="Courier New" w:hAnsi="Courier New" w:cs="Courier New" w:hint="default"/>
      </w:rPr>
    </w:lvl>
    <w:lvl w:ilvl="2" w:tplc="14090005" w:tentative="1">
      <w:start w:val="1"/>
      <w:numFmt w:val="bullet"/>
      <w:lvlText w:val=""/>
      <w:lvlJc w:val="left"/>
      <w:pPr>
        <w:ind w:left="1876" w:hanging="360"/>
      </w:pPr>
      <w:rPr>
        <w:rFonts w:ascii="Wingdings" w:hAnsi="Wingdings" w:hint="default"/>
      </w:rPr>
    </w:lvl>
    <w:lvl w:ilvl="3" w:tplc="14090001" w:tentative="1">
      <w:start w:val="1"/>
      <w:numFmt w:val="bullet"/>
      <w:lvlText w:val=""/>
      <w:lvlJc w:val="left"/>
      <w:pPr>
        <w:ind w:left="2596" w:hanging="360"/>
      </w:pPr>
      <w:rPr>
        <w:rFonts w:ascii="Symbol" w:hAnsi="Symbol" w:hint="default"/>
      </w:rPr>
    </w:lvl>
    <w:lvl w:ilvl="4" w:tplc="14090003" w:tentative="1">
      <w:start w:val="1"/>
      <w:numFmt w:val="bullet"/>
      <w:lvlText w:val="o"/>
      <w:lvlJc w:val="left"/>
      <w:pPr>
        <w:ind w:left="3316" w:hanging="360"/>
      </w:pPr>
      <w:rPr>
        <w:rFonts w:ascii="Courier New" w:hAnsi="Courier New" w:cs="Courier New" w:hint="default"/>
      </w:rPr>
    </w:lvl>
    <w:lvl w:ilvl="5" w:tplc="14090005" w:tentative="1">
      <w:start w:val="1"/>
      <w:numFmt w:val="bullet"/>
      <w:lvlText w:val=""/>
      <w:lvlJc w:val="left"/>
      <w:pPr>
        <w:ind w:left="4036" w:hanging="360"/>
      </w:pPr>
      <w:rPr>
        <w:rFonts w:ascii="Wingdings" w:hAnsi="Wingdings" w:hint="default"/>
      </w:rPr>
    </w:lvl>
    <w:lvl w:ilvl="6" w:tplc="14090001" w:tentative="1">
      <w:start w:val="1"/>
      <w:numFmt w:val="bullet"/>
      <w:lvlText w:val=""/>
      <w:lvlJc w:val="left"/>
      <w:pPr>
        <w:ind w:left="4756" w:hanging="360"/>
      </w:pPr>
      <w:rPr>
        <w:rFonts w:ascii="Symbol" w:hAnsi="Symbol" w:hint="default"/>
      </w:rPr>
    </w:lvl>
    <w:lvl w:ilvl="7" w:tplc="14090003" w:tentative="1">
      <w:start w:val="1"/>
      <w:numFmt w:val="bullet"/>
      <w:lvlText w:val="o"/>
      <w:lvlJc w:val="left"/>
      <w:pPr>
        <w:ind w:left="5476" w:hanging="360"/>
      </w:pPr>
      <w:rPr>
        <w:rFonts w:ascii="Courier New" w:hAnsi="Courier New" w:cs="Courier New" w:hint="default"/>
      </w:rPr>
    </w:lvl>
    <w:lvl w:ilvl="8" w:tplc="14090005" w:tentative="1">
      <w:start w:val="1"/>
      <w:numFmt w:val="bullet"/>
      <w:lvlText w:val=""/>
      <w:lvlJc w:val="left"/>
      <w:pPr>
        <w:ind w:left="6196" w:hanging="360"/>
      </w:pPr>
      <w:rPr>
        <w:rFonts w:ascii="Wingdings" w:hAnsi="Wingdings" w:hint="default"/>
      </w:rPr>
    </w:lvl>
  </w:abstractNum>
  <w:num w:numId="1" w16cid:durableId="1462570765">
    <w:abstractNumId w:val="3"/>
  </w:num>
  <w:num w:numId="2" w16cid:durableId="1418556501">
    <w:abstractNumId w:val="4"/>
  </w:num>
  <w:num w:numId="3" w16cid:durableId="663357757">
    <w:abstractNumId w:val="14"/>
  </w:num>
  <w:num w:numId="4" w16cid:durableId="1207451575">
    <w:abstractNumId w:val="7"/>
  </w:num>
  <w:num w:numId="5" w16cid:durableId="1553423730">
    <w:abstractNumId w:val="5"/>
  </w:num>
  <w:num w:numId="6" w16cid:durableId="1381707776">
    <w:abstractNumId w:val="10"/>
  </w:num>
  <w:num w:numId="7" w16cid:durableId="1265110408">
    <w:abstractNumId w:val="8"/>
  </w:num>
  <w:num w:numId="8" w16cid:durableId="783117731">
    <w:abstractNumId w:val="13"/>
  </w:num>
  <w:num w:numId="9" w16cid:durableId="1956324832">
    <w:abstractNumId w:val="6"/>
  </w:num>
  <w:num w:numId="10" w16cid:durableId="1944650046">
    <w:abstractNumId w:val="1"/>
  </w:num>
  <w:num w:numId="11" w16cid:durableId="1075014005">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12" w16cid:durableId="808598616">
    <w:abstractNumId w:val="2"/>
  </w:num>
  <w:num w:numId="13" w16cid:durableId="748891083">
    <w:abstractNumId w:val="15"/>
  </w:num>
  <w:num w:numId="14" w16cid:durableId="523520754">
    <w:abstractNumId w:val="12"/>
  </w:num>
  <w:num w:numId="15" w16cid:durableId="1202859525">
    <w:abstractNumId w:val="9"/>
  </w:num>
  <w:num w:numId="16" w16cid:durableId="8824081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0EE"/>
    <w:rsid w:val="00003083"/>
    <w:rsid w:val="00030696"/>
    <w:rsid w:val="000710D1"/>
    <w:rsid w:val="000719B7"/>
    <w:rsid w:val="000C2CBD"/>
    <w:rsid w:val="000F31D3"/>
    <w:rsid w:val="00106FB0"/>
    <w:rsid w:val="001A5C08"/>
    <w:rsid w:val="002025E6"/>
    <w:rsid w:val="002758A3"/>
    <w:rsid w:val="0031377B"/>
    <w:rsid w:val="004E0967"/>
    <w:rsid w:val="00526FDE"/>
    <w:rsid w:val="00555B12"/>
    <w:rsid w:val="00587375"/>
    <w:rsid w:val="00592D47"/>
    <w:rsid w:val="005C3BC3"/>
    <w:rsid w:val="006001D8"/>
    <w:rsid w:val="00662C8B"/>
    <w:rsid w:val="006D5326"/>
    <w:rsid w:val="00726573"/>
    <w:rsid w:val="007A4A2F"/>
    <w:rsid w:val="007D7673"/>
    <w:rsid w:val="00811D74"/>
    <w:rsid w:val="008531DE"/>
    <w:rsid w:val="008706F5"/>
    <w:rsid w:val="008A438B"/>
    <w:rsid w:val="00924501"/>
    <w:rsid w:val="00980A18"/>
    <w:rsid w:val="009909B5"/>
    <w:rsid w:val="009C2F55"/>
    <w:rsid w:val="009F0146"/>
    <w:rsid w:val="00A10BB6"/>
    <w:rsid w:val="00A239E7"/>
    <w:rsid w:val="00A712F5"/>
    <w:rsid w:val="00AF3CE3"/>
    <w:rsid w:val="00B02765"/>
    <w:rsid w:val="00B07463"/>
    <w:rsid w:val="00B74C2F"/>
    <w:rsid w:val="00BC479F"/>
    <w:rsid w:val="00BD1365"/>
    <w:rsid w:val="00BD2DC1"/>
    <w:rsid w:val="00BE47F3"/>
    <w:rsid w:val="00C41DD5"/>
    <w:rsid w:val="00C51211"/>
    <w:rsid w:val="00C76FBB"/>
    <w:rsid w:val="00C908B1"/>
    <w:rsid w:val="00CE08C3"/>
    <w:rsid w:val="00D15BF1"/>
    <w:rsid w:val="00D524B0"/>
    <w:rsid w:val="00D94145"/>
    <w:rsid w:val="00DA78A6"/>
    <w:rsid w:val="00DD551F"/>
    <w:rsid w:val="00EA0BDB"/>
    <w:rsid w:val="00EA4701"/>
    <w:rsid w:val="00ED30EE"/>
    <w:rsid w:val="00EF5904"/>
    <w:rsid w:val="00F356AF"/>
    <w:rsid w:val="00F650EF"/>
    <w:rsid w:val="00F706BD"/>
    <w:rsid w:val="00F810DF"/>
    <w:rsid w:val="00FB17E8"/>
    <w:rsid w:val="00FC27B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DC6F1C8"/>
  <w15:docId w15:val="{34E71245-03C8-4642-814F-CBB4BD47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30EE"/>
    <w:rPr>
      <w:sz w:val="24"/>
      <w:szCs w:val="24"/>
      <w:lang w:eastAsia="en-US"/>
    </w:rPr>
  </w:style>
  <w:style w:type="paragraph" w:styleId="Heading1">
    <w:name w:val="heading 1"/>
    <w:next w:val="Normal"/>
    <w:link w:val="Heading1Char"/>
    <w:uiPriority w:val="9"/>
    <w:qFormat/>
    <w:rsid w:val="00662C8B"/>
    <w:pPr>
      <w:keepNext/>
      <w:keepLines/>
      <w:pBdr>
        <w:bottom w:val="single" w:sz="6" w:space="0" w:color="CDCECE"/>
      </w:pBdr>
      <w:shd w:val="clear" w:color="auto" w:fill="99CCFF"/>
      <w:spacing w:after="308" w:line="256" w:lineRule="auto"/>
      <w:ind w:left="10" w:hanging="10"/>
      <w:outlineLvl w:val="0"/>
    </w:pPr>
    <w:rPr>
      <w:rFonts w:ascii="Calibri" w:eastAsia="Calibri" w:hAnsi="Calibri" w:cs="Calibri"/>
      <w:b/>
      <w:color w:val="2F2F2F"/>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30EE"/>
    <w:pPr>
      <w:tabs>
        <w:tab w:val="center" w:pos="4320"/>
        <w:tab w:val="right" w:pos="8640"/>
      </w:tabs>
    </w:pPr>
  </w:style>
  <w:style w:type="paragraph" w:styleId="Footer">
    <w:name w:val="footer"/>
    <w:basedOn w:val="Normal"/>
    <w:rsid w:val="00ED30EE"/>
    <w:pPr>
      <w:tabs>
        <w:tab w:val="center" w:pos="4320"/>
        <w:tab w:val="right" w:pos="8640"/>
      </w:tabs>
    </w:pPr>
  </w:style>
  <w:style w:type="paragraph" w:styleId="BalloonText">
    <w:name w:val="Balloon Text"/>
    <w:basedOn w:val="Normal"/>
    <w:semiHidden/>
    <w:rsid w:val="00C76FBB"/>
    <w:rPr>
      <w:rFonts w:ascii="Tahoma" w:hAnsi="Tahoma" w:cs="Tahoma"/>
      <w:sz w:val="16"/>
      <w:szCs w:val="16"/>
    </w:rPr>
  </w:style>
  <w:style w:type="paragraph" w:styleId="ListParagraph">
    <w:name w:val="List Paragraph"/>
    <w:basedOn w:val="Normal"/>
    <w:uiPriority w:val="34"/>
    <w:qFormat/>
    <w:rsid w:val="00F356AF"/>
    <w:pPr>
      <w:spacing w:after="56" w:line="249" w:lineRule="auto"/>
      <w:ind w:left="720" w:right="3" w:hanging="10"/>
      <w:contextualSpacing/>
      <w:jc w:val="both"/>
    </w:pPr>
    <w:rPr>
      <w:rFonts w:ascii="Calibri" w:eastAsia="Calibri" w:hAnsi="Calibri" w:cs="Calibri"/>
      <w:color w:val="000000"/>
      <w:sz w:val="22"/>
      <w:szCs w:val="22"/>
      <w:lang w:eastAsia="en-NZ"/>
    </w:rPr>
  </w:style>
  <w:style w:type="paragraph" w:styleId="FootnoteText">
    <w:name w:val="footnote text"/>
    <w:basedOn w:val="Normal"/>
    <w:link w:val="FootnoteTextChar"/>
    <w:uiPriority w:val="99"/>
    <w:semiHidden/>
    <w:unhideWhenUsed/>
    <w:rsid w:val="00F356A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356AF"/>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356AF"/>
    <w:rPr>
      <w:vertAlign w:val="superscript"/>
    </w:rPr>
  </w:style>
  <w:style w:type="character" w:customStyle="1" w:styleId="Heading1Char">
    <w:name w:val="Heading 1 Char"/>
    <w:basedOn w:val="DefaultParagraphFont"/>
    <w:link w:val="Heading1"/>
    <w:uiPriority w:val="9"/>
    <w:rsid w:val="00662C8B"/>
    <w:rPr>
      <w:rFonts w:ascii="Calibri" w:eastAsia="Calibri" w:hAnsi="Calibri" w:cs="Calibri"/>
      <w:b/>
      <w:color w:val="2F2F2F"/>
      <w:sz w:val="23"/>
      <w:szCs w:val="22"/>
      <w:shd w:val="clear" w:color="auto" w:fill="99CC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8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660</Words>
  <Characters>3839</Characters>
  <Application>Microsoft Office Word</Application>
  <DocSecurity>0</DocSecurity>
  <Lines>83</Lines>
  <Paragraphs>35</Paragraphs>
  <ScaleCrop>false</ScaleCrop>
  <HeadingPairs>
    <vt:vector size="2" baseType="variant">
      <vt:variant>
        <vt:lpstr>Title</vt:lpstr>
      </vt:variant>
      <vt:variant>
        <vt:i4>1</vt:i4>
      </vt:variant>
    </vt:vector>
  </HeadingPairs>
  <TitlesOfParts>
    <vt:vector size="1" baseType="lpstr">
      <vt:lpstr>Framework and Terms of Reference for Administrative Reviews</vt:lpstr>
    </vt:vector>
  </TitlesOfParts>
  <Company>University of Otago</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and Terms of Reference for Administrative Reviews</dc:title>
  <dc:creator>Quality Advancement Unit</dc:creator>
  <cp:lastModifiedBy>Megan Gollop</cp:lastModifiedBy>
  <cp:revision>19</cp:revision>
  <cp:lastPrinted>2025-05-13T04:22:00Z</cp:lastPrinted>
  <dcterms:created xsi:type="dcterms:W3CDTF">2021-06-23T01:30:00Z</dcterms:created>
  <dcterms:modified xsi:type="dcterms:W3CDTF">2025-05-13T04:22:00Z</dcterms:modified>
</cp:coreProperties>
</file>