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7"/>
      </w:tblGrid>
      <w:tr w:rsidR="008F1295" w:rsidRPr="000A55FF" w:rsidTr="00D44D5A">
        <w:trPr>
          <w:trHeight w:hRule="exact" w:val="888"/>
          <w:jc w:val="center"/>
        </w:trPr>
        <w:tc>
          <w:tcPr>
            <w:tcW w:w="10067" w:type="dxa"/>
            <w:tcBorders>
              <w:top w:val="single" w:sz="4" w:space="0" w:color="00ACBA"/>
              <w:left w:val="single" w:sz="4" w:space="0" w:color="00ACBA"/>
              <w:right w:val="single" w:sz="4" w:space="0" w:color="00ACBA"/>
            </w:tcBorders>
            <w:tcMar>
              <w:bottom w:w="284" w:type="dxa"/>
            </w:tcMar>
            <w:vAlign w:val="bottom"/>
          </w:tcPr>
          <w:p w:rsidR="008F1295" w:rsidRPr="00D44D5A" w:rsidRDefault="00D44D5A" w:rsidP="00D27C6D">
            <w:pPr>
              <w:spacing w:before="120" w:after="0"/>
              <w:contextualSpacing/>
              <w:rPr>
                <w:rFonts w:ascii="Calibri" w:hAnsi="Calibri" w:cs="Times New Roman"/>
                <w:color w:val="00ACBA"/>
                <w:spacing w:val="-7"/>
                <w:sz w:val="48"/>
                <w:szCs w:val="48"/>
              </w:rPr>
            </w:pPr>
            <w:r w:rsidRPr="00D44D5A">
              <w:rPr>
                <w:rFonts w:ascii="Calibri" w:hAnsi="Calibri" w:cs="Times New Roman"/>
                <w:color w:val="00ACBA"/>
                <w:spacing w:val="-7"/>
                <w:sz w:val="48"/>
                <w:szCs w:val="48"/>
              </w:rPr>
              <w:t>Suspected Creutzfeldt-Jakob Disease Post-Mortems</w:t>
            </w:r>
          </w:p>
        </w:tc>
      </w:tr>
      <w:tr w:rsidR="004A52D5" w:rsidRPr="00A42427" w:rsidTr="00D44D5A">
        <w:trPr>
          <w:trHeight w:val="217"/>
          <w:jc w:val="center"/>
        </w:trPr>
        <w:tc>
          <w:tcPr>
            <w:tcW w:w="10067" w:type="dxa"/>
            <w:shd w:val="clear" w:color="auto" w:fill="00ACBA"/>
          </w:tcPr>
          <w:p w:rsidR="008F1295" w:rsidRPr="00A42427" w:rsidRDefault="00D44D5A" w:rsidP="000A55FF">
            <w:pPr>
              <w:keepNext/>
              <w:keepLines/>
              <w:spacing w:before="120"/>
              <w:outlineLvl w:val="3"/>
              <w:rPr>
                <w:rFonts w:ascii="Calibri" w:hAnsi="Calibri" w:cs="Times New Roman"/>
                <w:b/>
                <w:color w:val="000000" w:themeColor="text1"/>
                <w:spacing w:val="22"/>
                <w:sz w:val="28"/>
                <w:szCs w:val="24"/>
              </w:rPr>
            </w:pPr>
            <w:r>
              <w:rPr>
                <w:rFonts w:ascii="Calibri" w:hAnsi="Calibri" w:cs="Times New Roman"/>
                <w:b/>
                <w:color w:val="000000" w:themeColor="text1"/>
                <w:spacing w:val="22"/>
                <w:sz w:val="28"/>
                <w:szCs w:val="24"/>
              </w:rPr>
              <w:t>Information Sheet</w:t>
            </w:r>
          </w:p>
        </w:tc>
      </w:tr>
    </w:tbl>
    <w:p w:rsidR="008F1295" w:rsidRPr="00C77C2C" w:rsidRDefault="008F1295" w:rsidP="00496021">
      <w:pPr>
        <w:pStyle w:val="SubHdg"/>
        <w:pBdr>
          <w:bottom w:val="none" w:sz="0" w:space="0" w:color="auto"/>
        </w:pBdr>
        <w:rPr>
          <w:rFonts w:ascii="Calibri" w:hAnsi="Calibri" w:cs="Arial"/>
          <w:color w:val="auto"/>
          <w:sz w:val="14"/>
          <w:szCs w:val="28"/>
        </w:rPr>
      </w:pPr>
    </w:p>
    <w:p w:rsidR="002D1B70" w:rsidRPr="00C21F0B" w:rsidRDefault="00D44D5A" w:rsidP="00C77C2C">
      <w:pPr>
        <w:pStyle w:val="SubHdg"/>
        <w:pBdr>
          <w:bottom w:val="none" w:sz="0" w:space="0" w:color="auto"/>
        </w:pBdr>
        <w:jc w:val="both"/>
        <w:rPr>
          <w:rFonts w:ascii="Calibri" w:hAnsi="Calibri" w:cs="Arial"/>
          <w:color w:val="auto"/>
          <w:sz w:val="26"/>
          <w:szCs w:val="26"/>
        </w:rPr>
      </w:pPr>
      <w:r w:rsidRPr="00C21F0B">
        <w:rPr>
          <w:rFonts w:ascii="Calibri" w:hAnsi="Calibri" w:cs="Arial"/>
          <w:color w:val="auto"/>
          <w:sz w:val="26"/>
          <w:szCs w:val="26"/>
        </w:rPr>
        <w:t>What is Creutzfeldt-Jakob disease?</w:t>
      </w:r>
    </w:p>
    <w:p w:rsidR="002D1B70" w:rsidRDefault="00D44D5A" w:rsidP="00C77C2C">
      <w:pPr>
        <w:jc w:val="both"/>
        <w:rPr>
          <w:sz w:val="24"/>
          <w:szCs w:val="24"/>
        </w:rPr>
      </w:pPr>
      <w:r>
        <w:rPr>
          <w:sz w:val="24"/>
          <w:szCs w:val="24"/>
        </w:rPr>
        <w:t xml:space="preserve">Creutzfeldt-Jakob disease (CJD) is one of the family of prion diseases. Prion diseases are characterised by the accumulation of an abnormal form of cellular protein in the brain. This protein may be transmitted in certain, very specific, situations from one person to another. The disease-causing protein is also very resistant to normal methods of eliminating infection. </w:t>
      </w:r>
    </w:p>
    <w:p w:rsidR="00D44D5A" w:rsidRPr="00B63814" w:rsidRDefault="00D44D5A" w:rsidP="00C77C2C">
      <w:pPr>
        <w:jc w:val="both"/>
        <w:rPr>
          <w:sz w:val="24"/>
          <w:szCs w:val="24"/>
        </w:rPr>
      </w:pPr>
      <w:r>
        <w:rPr>
          <w:sz w:val="24"/>
          <w:szCs w:val="24"/>
        </w:rPr>
        <w:t>For these reasons, post-mortems involving suspected cases of CJD follow specific procedures designed to maximise diagnostic information and minimise the risk to hospital staff from the tissue. However, a post-mortem is the only way to absolutely confirm CJD, which is why it is preferable to do one.</w:t>
      </w:r>
    </w:p>
    <w:p w:rsidR="00917C4D" w:rsidRPr="00C21F0B" w:rsidRDefault="00D44D5A" w:rsidP="00C77C2C">
      <w:pPr>
        <w:pStyle w:val="SubHdg"/>
        <w:pBdr>
          <w:bottom w:val="none" w:sz="0" w:space="0" w:color="auto"/>
        </w:pBdr>
        <w:jc w:val="both"/>
        <w:rPr>
          <w:rFonts w:ascii="Calibri" w:hAnsi="Calibri" w:cs="Arial"/>
          <w:color w:val="auto"/>
          <w:sz w:val="26"/>
          <w:szCs w:val="26"/>
        </w:rPr>
      </w:pPr>
      <w:r w:rsidRPr="00C21F0B">
        <w:rPr>
          <w:rFonts w:ascii="Calibri" w:hAnsi="Calibri" w:cs="Arial"/>
          <w:color w:val="auto"/>
          <w:sz w:val="26"/>
          <w:szCs w:val="26"/>
        </w:rPr>
        <w:t>How long does the post-mortem procedure take?</w:t>
      </w:r>
    </w:p>
    <w:p w:rsidR="002D1B70" w:rsidRPr="00B63814" w:rsidRDefault="00D44D5A" w:rsidP="00C77C2C">
      <w:pPr>
        <w:jc w:val="both"/>
        <w:rPr>
          <w:sz w:val="24"/>
          <w:szCs w:val="24"/>
        </w:rPr>
      </w:pPr>
      <w:r>
        <w:rPr>
          <w:sz w:val="24"/>
          <w:szCs w:val="24"/>
        </w:rPr>
        <w:t xml:space="preserve">The post-mortem is limited to the </w:t>
      </w:r>
      <w:r w:rsidR="00496021">
        <w:rPr>
          <w:sz w:val="24"/>
          <w:szCs w:val="24"/>
        </w:rPr>
        <w:t>brain,</w:t>
      </w:r>
      <w:r>
        <w:rPr>
          <w:sz w:val="24"/>
          <w:szCs w:val="24"/>
        </w:rPr>
        <w:t xml:space="preserve"> so it can generally be removed the same day as the patient arrives. The body can usually be returned to family that day.</w:t>
      </w:r>
    </w:p>
    <w:p w:rsidR="00812C13" w:rsidRPr="00C21F0B" w:rsidRDefault="00496021" w:rsidP="00C77C2C">
      <w:pPr>
        <w:pStyle w:val="SubHdg"/>
        <w:pBdr>
          <w:bottom w:val="none" w:sz="0" w:space="0" w:color="auto"/>
        </w:pBdr>
        <w:jc w:val="both"/>
        <w:rPr>
          <w:rFonts w:ascii="Calibri" w:hAnsi="Calibri" w:cs="Arial"/>
          <w:color w:val="auto"/>
          <w:sz w:val="26"/>
          <w:szCs w:val="26"/>
        </w:rPr>
      </w:pPr>
      <w:r w:rsidRPr="00C21F0B">
        <w:rPr>
          <w:rFonts w:ascii="Calibri" w:hAnsi="Calibri" w:cs="Arial"/>
          <w:color w:val="auto"/>
          <w:sz w:val="26"/>
          <w:szCs w:val="26"/>
        </w:rPr>
        <w:t>Can the brain be returned to the family after the post-mortem?</w:t>
      </w:r>
    </w:p>
    <w:p w:rsidR="00812C13" w:rsidRPr="00496021" w:rsidRDefault="00496021" w:rsidP="00C77C2C">
      <w:pPr>
        <w:jc w:val="both"/>
        <w:rPr>
          <w:sz w:val="24"/>
          <w:szCs w:val="24"/>
        </w:rPr>
      </w:pPr>
      <w:r>
        <w:rPr>
          <w:sz w:val="24"/>
          <w:szCs w:val="24"/>
        </w:rPr>
        <w:t xml:space="preserve">No. The brain and its coverings are a potential infection hazard. Even if the post-mortem does not confirm a diagnosis of CJD, the brain is unable to be returned because it is examined in an area and using instruments that have been used for other CJD cases. </w:t>
      </w:r>
      <w:r w:rsidRPr="00C77C2C">
        <w:rPr>
          <w:b/>
          <w:sz w:val="24"/>
          <w:szCs w:val="24"/>
          <w:u w:val="single"/>
        </w:rPr>
        <w:t>If you, or your family, do not wish the brain to be retained and disposed of by the hospital you should decline permission for a post-mortem.</w:t>
      </w:r>
      <w:r>
        <w:rPr>
          <w:b/>
          <w:sz w:val="24"/>
          <w:szCs w:val="24"/>
          <w:u w:val="single"/>
        </w:rPr>
        <w:t xml:space="preserve"> </w:t>
      </w:r>
    </w:p>
    <w:p w:rsidR="002D1B70" w:rsidRPr="00C21F0B" w:rsidRDefault="00496021" w:rsidP="00C77C2C">
      <w:pPr>
        <w:pStyle w:val="SubHdg"/>
        <w:pBdr>
          <w:bottom w:val="none" w:sz="0" w:space="0" w:color="auto"/>
        </w:pBdr>
        <w:jc w:val="both"/>
        <w:rPr>
          <w:rFonts w:ascii="Calibri" w:hAnsi="Calibri" w:cs="Arial"/>
          <w:color w:val="auto"/>
          <w:sz w:val="26"/>
          <w:szCs w:val="26"/>
        </w:rPr>
      </w:pPr>
      <w:r w:rsidRPr="00C21F0B">
        <w:rPr>
          <w:rFonts w:ascii="Calibri" w:hAnsi="Calibri" w:cs="Arial"/>
          <w:color w:val="auto"/>
          <w:sz w:val="26"/>
          <w:szCs w:val="26"/>
        </w:rPr>
        <w:t>Will we be able to view our loved one after the post-mortem?</w:t>
      </w:r>
    </w:p>
    <w:p w:rsidR="002D1B70" w:rsidRPr="00B63814" w:rsidRDefault="00496021" w:rsidP="00C77C2C">
      <w:pPr>
        <w:tabs>
          <w:tab w:val="left" w:pos="2673"/>
        </w:tabs>
        <w:jc w:val="both"/>
        <w:rPr>
          <w:sz w:val="24"/>
          <w:szCs w:val="24"/>
        </w:rPr>
      </w:pPr>
      <w:r>
        <w:rPr>
          <w:sz w:val="24"/>
          <w:szCs w:val="24"/>
        </w:rPr>
        <w:t xml:space="preserve">Yes, you can view the body of your loved one after the post-mortem. However, contact such as touching or kissing is not advised. Embalming is not recommended either because of the risk of infection for the undertaker. This may mean that in some situations the undertaker will suggest you should not view the body. </w:t>
      </w:r>
    </w:p>
    <w:p w:rsidR="00496021" w:rsidRPr="00C21F0B" w:rsidRDefault="00496021" w:rsidP="00C77C2C">
      <w:pPr>
        <w:pStyle w:val="SubHdg"/>
        <w:pBdr>
          <w:bottom w:val="none" w:sz="0" w:space="0" w:color="auto"/>
        </w:pBdr>
        <w:jc w:val="both"/>
        <w:rPr>
          <w:rFonts w:ascii="Calibri" w:hAnsi="Calibri" w:cs="Arial"/>
          <w:color w:val="auto"/>
          <w:sz w:val="26"/>
          <w:szCs w:val="26"/>
        </w:rPr>
      </w:pPr>
      <w:r w:rsidRPr="00C21F0B">
        <w:rPr>
          <w:rFonts w:ascii="Calibri" w:hAnsi="Calibri" w:cs="Arial"/>
          <w:color w:val="auto"/>
          <w:sz w:val="26"/>
          <w:szCs w:val="26"/>
        </w:rPr>
        <w:t>What happens to the brain after the post-mortem?</w:t>
      </w:r>
    </w:p>
    <w:p w:rsidR="00496021" w:rsidRDefault="00496021" w:rsidP="00C77C2C">
      <w:pPr>
        <w:tabs>
          <w:tab w:val="left" w:pos="2673"/>
        </w:tabs>
        <w:jc w:val="both"/>
        <w:rPr>
          <w:sz w:val="24"/>
          <w:szCs w:val="24"/>
        </w:rPr>
      </w:pPr>
      <w:r>
        <w:rPr>
          <w:sz w:val="24"/>
          <w:szCs w:val="24"/>
        </w:rPr>
        <w:t>Around 20 postage stamp-sized samples are taken from the brain for examination. This involves processing this tissue into small wax blocks. A small piece of frozen brain (around 2 – 3 cubic cm) is also kept for specialist testing overseas. The remaining brain is retained by the hospital until the examination is complete and no further testing is needed. After this the brain is respectfully cremated by an undertaker in Christchurch</w:t>
      </w:r>
      <w:bookmarkStart w:id="0" w:name="_GoBack"/>
      <w:bookmarkEnd w:id="0"/>
      <w:r>
        <w:rPr>
          <w:sz w:val="24"/>
          <w:szCs w:val="24"/>
        </w:rPr>
        <w:t>.</w:t>
      </w:r>
    </w:p>
    <w:p w:rsidR="00C77C2C" w:rsidRDefault="00C77C2C" w:rsidP="00C77C2C">
      <w:pPr>
        <w:pStyle w:val="SubHdg"/>
        <w:pBdr>
          <w:bottom w:val="none" w:sz="0" w:space="0" w:color="auto"/>
        </w:pBdr>
        <w:jc w:val="both"/>
        <w:rPr>
          <w:rFonts w:ascii="Calibri" w:hAnsi="Calibri" w:cs="Arial"/>
          <w:color w:val="auto"/>
          <w:sz w:val="28"/>
          <w:szCs w:val="28"/>
        </w:rPr>
      </w:pPr>
    </w:p>
    <w:p w:rsidR="00496021" w:rsidRPr="00C21F0B" w:rsidRDefault="00496021" w:rsidP="00C77C2C">
      <w:pPr>
        <w:pStyle w:val="SubHdg"/>
        <w:pBdr>
          <w:bottom w:val="none" w:sz="0" w:space="0" w:color="auto"/>
        </w:pBdr>
        <w:jc w:val="both"/>
        <w:rPr>
          <w:rFonts w:ascii="Calibri" w:hAnsi="Calibri" w:cs="Arial"/>
          <w:color w:val="auto"/>
          <w:sz w:val="26"/>
          <w:szCs w:val="26"/>
        </w:rPr>
      </w:pPr>
      <w:r w:rsidRPr="00C21F0B">
        <w:rPr>
          <w:rFonts w:ascii="Calibri" w:hAnsi="Calibri" w:cs="Arial"/>
          <w:color w:val="auto"/>
          <w:sz w:val="26"/>
          <w:szCs w:val="26"/>
        </w:rPr>
        <w:t>How long does it take to get a result from the post-mortem?</w:t>
      </w:r>
    </w:p>
    <w:p w:rsidR="00496021" w:rsidRDefault="00496021" w:rsidP="00C77C2C">
      <w:pPr>
        <w:tabs>
          <w:tab w:val="left" w:pos="2673"/>
        </w:tabs>
        <w:jc w:val="both"/>
        <w:rPr>
          <w:sz w:val="24"/>
          <w:szCs w:val="24"/>
        </w:rPr>
      </w:pPr>
      <w:r>
        <w:rPr>
          <w:sz w:val="24"/>
          <w:szCs w:val="24"/>
        </w:rPr>
        <w:t xml:space="preserve">A provisional result is generally available around 8-12 weeks after the post-mortem. However, a final result may take a further six months as tissue has to be sent overseas to confirm the results. </w:t>
      </w:r>
    </w:p>
    <w:p w:rsidR="00496021" w:rsidRPr="00C21F0B" w:rsidRDefault="00986D8F" w:rsidP="00C77C2C">
      <w:pPr>
        <w:pStyle w:val="SubHdg"/>
        <w:pBdr>
          <w:bottom w:val="none" w:sz="0" w:space="0" w:color="auto"/>
        </w:pBdr>
        <w:jc w:val="both"/>
        <w:rPr>
          <w:rFonts w:ascii="Calibri" w:hAnsi="Calibri" w:cs="Arial"/>
          <w:color w:val="auto"/>
          <w:sz w:val="26"/>
          <w:szCs w:val="26"/>
        </w:rPr>
      </w:pPr>
      <w:r w:rsidRPr="00C21F0B">
        <w:rPr>
          <w:rFonts w:ascii="Calibri" w:hAnsi="Calibri" w:cs="Arial"/>
          <w:color w:val="auto"/>
          <w:sz w:val="26"/>
          <w:szCs w:val="26"/>
        </w:rPr>
        <w:t>What happens to the tissue sent overseas</w:t>
      </w:r>
      <w:r w:rsidR="00496021" w:rsidRPr="00C21F0B">
        <w:rPr>
          <w:rFonts w:ascii="Calibri" w:hAnsi="Calibri" w:cs="Arial"/>
          <w:color w:val="auto"/>
          <w:sz w:val="26"/>
          <w:szCs w:val="26"/>
        </w:rPr>
        <w:t>?</w:t>
      </w:r>
    </w:p>
    <w:p w:rsidR="00496021" w:rsidRDefault="00986D8F" w:rsidP="00C77C2C">
      <w:pPr>
        <w:tabs>
          <w:tab w:val="left" w:pos="2673"/>
        </w:tabs>
        <w:jc w:val="both"/>
        <w:rPr>
          <w:sz w:val="24"/>
          <w:szCs w:val="24"/>
        </w:rPr>
      </w:pPr>
      <w:r>
        <w:rPr>
          <w:sz w:val="24"/>
          <w:szCs w:val="24"/>
        </w:rPr>
        <w:t>Specific tests are performed in either the United Kingdom or Australia to confirm the presence of the abnormal prion protein. Testing the small piece of frozen brain tissue is used to type which “strain” of prion protein is present.</w:t>
      </w:r>
    </w:p>
    <w:p w:rsidR="008206D7" w:rsidRPr="00C21F0B" w:rsidRDefault="008206D7" w:rsidP="00C77C2C">
      <w:pPr>
        <w:pStyle w:val="SubHdg"/>
        <w:pBdr>
          <w:bottom w:val="none" w:sz="0" w:space="0" w:color="auto"/>
        </w:pBdr>
        <w:jc w:val="both"/>
        <w:rPr>
          <w:rFonts w:ascii="Calibri" w:hAnsi="Calibri" w:cs="Arial"/>
          <w:color w:val="auto"/>
          <w:sz w:val="26"/>
          <w:szCs w:val="26"/>
        </w:rPr>
      </w:pPr>
      <w:r w:rsidRPr="00C21F0B">
        <w:rPr>
          <w:rFonts w:ascii="Calibri" w:hAnsi="Calibri" w:cs="Arial"/>
          <w:color w:val="auto"/>
          <w:sz w:val="26"/>
          <w:szCs w:val="26"/>
        </w:rPr>
        <w:t>Will the tissue sent overseas be returned?</w:t>
      </w:r>
    </w:p>
    <w:p w:rsidR="008206D7" w:rsidRDefault="008206D7" w:rsidP="00C77C2C">
      <w:pPr>
        <w:tabs>
          <w:tab w:val="left" w:pos="2673"/>
        </w:tabs>
        <w:jc w:val="both"/>
        <w:rPr>
          <w:sz w:val="24"/>
          <w:szCs w:val="24"/>
        </w:rPr>
      </w:pPr>
      <w:r>
        <w:rPr>
          <w:sz w:val="24"/>
          <w:szCs w:val="24"/>
        </w:rPr>
        <w:t>The wax blocks and tissue slides are returned to New Zealand and stored by the pathology department at Christchurch Hospital. The overseas laboratory will usually keep a separate copy of tissue slides as part of the medical record and in case of future questions. If frozen tissue has been sent it is impractical to return it to New Zealand. Therefore, it will be respectfully disposed of overseas.</w:t>
      </w:r>
    </w:p>
    <w:p w:rsidR="008206D7" w:rsidRPr="00C21F0B" w:rsidRDefault="008206D7" w:rsidP="00C77C2C">
      <w:pPr>
        <w:pStyle w:val="SubHdg"/>
        <w:pBdr>
          <w:bottom w:val="none" w:sz="0" w:space="0" w:color="auto"/>
        </w:pBdr>
        <w:jc w:val="both"/>
        <w:rPr>
          <w:rFonts w:ascii="Calibri" w:hAnsi="Calibri" w:cs="Arial"/>
          <w:color w:val="auto"/>
          <w:sz w:val="26"/>
          <w:szCs w:val="26"/>
        </w:rPr>
      </w:pPr>
      <w:r w:rsidRPr="00C21F0B">
        <w:rPr>
          <w:rFonts w:ascii="Calibri" w:hAnsi="Calibri" w:cs="Arial"/>
          <w:color w:val="auto"/>
          <w:sz w:val="26"/>
          <w:szCs w:val="26"/>
        </w:rPr>
        <w:t>Is genetic testing performed on the tissue?</w:t>
      </w:r>
    </w:p>
    <w:p w:rsidR="008206D7" w:rsidRDefault="008206D7" w:rsidP="00C77C2C">
      <w:pPr>
        <w:tabs>
          <w:tab w:val="left" w:pos="2673"/>
        </w:tabs>
        <w:jc w:val="both"/>
        <w:rPr>
          <w:sz w:val="24"/>
          <w:szCs w:val="24"/>
        </w:rPr>
      </w:pPr>
      <w:r>
        <w:rPr>
          <w:sz w:val="24"/>
          <w:szCs w:val="24"/>
        </w:rPr>
        <w:t xml:space="preserve">DNA may be stored from the brain tissue so that further testing can be performed subsequently if required. However, no genetic testing for prion protein </w:t>
      </w:r>
      <w:r w:rsidRPr="00A96AA7">
        <w:rPr>
          <w:i/>
          <w:sz w:val="24"/>
          <w:szCs w:val="24"/>
        </w:rPr>
        <w:t>(PR</w:t>
      </w:r>
      <w:r w:rsidR="00A96AA7" w:rsidRPr="00A96AA7">
        <w:rPr>
          <w:i/>
          <w:sz w:val="24"/>
          <w:szCs w:val="24"/>
        </w:rPr>
        <w:t>N</w:t>
      </w:r>
      <w:r w:rsidRPr="00A96AA7">
        <w:rPr>
          <w:i/>
          <w:sz w:val="24"/>
          <w:szCs w:val="24"/>
        </w:rPr>
        <w:t>P)</w:t>
      </w:r>
      <w:r>
        <w:rPr>
          <w:sz w:val="24"/>
          <w:szCs w:val="24"/>
        </w:rPr>
        <w:t xml:space="preserve"> mutations is carried out without specific written consent – usually in conjunction with genetic counselling. This consent is separate to the consent given for the post-mortem examination. </w:t>
      </w:r>
      <w:r w:rsidR="00C77C2C">
        <w:rPr>
          <w:sz w:val="24"/>
          <w:szCs w:val="24"/>
        </w:rPr>
        <w:t xml:space="preserve">If you have any concerns regarding a possible genetic component to the disease, please discuss this with the neurologist or physician involved. </w:t>
      </w:r>
    </w:p>
    <w:p w:rsidR="00C77C2C" w:rsidRPr="00C21F0B" w:rsidRDefault="00C77C2C" w:rsidP="00C77C2C">
      <w:pPr>
        <w:pStyle w:val="SubHdg"/>
        <w:pBdr>
          <w:bottom w:val="none" w:sz="0" w:space="0" w:color="auto"/>
        </w:pBdr>
        <w:jc w:val="both"/>
        <w:rPr>
          <w:rFonts w:ascii="Calibri" w:hAnsi="Calibri" w:cs="Arial"/>
          <w:color w:val="auto"/>
          <w:sz w:val="26"/>
          <w:szCs w:val="26"/>
        </w:rPr>
      </w:pPr>
      <w:r w:rsidRPr="00C21F0B">
        <w:rPr>
          <w:rFonts w:ascii="Calibri" w:hAnsi="Calibri" w:cs="Arial"/>
          <w:color w:val="auto"/>
          <w:sz w:val="26"/>
          <w:szCs w:val="26"/>
        </w:rPr>
        <w:t>Is research performed on the tissue?</w:t>
      </w:r>
    </w:p>
    <w:p w:rsidR="00496021" w:rsidRDefault="00C77C2C" w:rsidP="00C77C2C">
      <w:pPr>
        <w:tabs>
          <w:tab w:val="left" w:pos="2673"/>
        </w:tabs>
        <w:jc w:val="both"/>
        <w:rPr>
          <w:sz w:val="24"/>
          <w:szCs w:val="24"/>
        </w:rPr>
      </w:pPr>
      <w:r>
        <w:rPr>
          <w:sz w:val="24"/>
          <w:szCs w:val="24"/>
        </w:rPr>
        <w:t xml:space="preserve">No. Research is not performed on the brain tissue without specific written consent. </w:t>
      </w:r>
    </w:p>
    <w:p w:rsidR="00C77C2C" w:rsidRDefault="00C77C2C" w:rsidP="00C77C2C">
      <w:pPr>
        <w:tabs>
          <w:tab w:val="left" w:pos="2673"/>
        </w:tabs>
        <w:jc w:val="both"/>
        <w:rPr>
          <w:sz w:val="24"/>
          <w:szCs w:val="24"/>
        </w:rPr>
      </w:pPr>
    </w:p>
    <w:p w:rsidR="002D1B70" w:rsidRPr="00C77C2C" w:rsidRDefault="00C77C2C" w:rsidP="00C77C2C">
      <w:pPr>
        <w:tabs>
          <w:tab w:val="left" w:pos="2673"/>
        </w:tabs>
        <w:jc w:val="both"/>
        <w:rPr>
          <w:i/>
          <w:sz w:val="24"/>
          <w:szCs w:val="24"/>
        </w:rPr>
      </w:pPr>
      <w:r>
        <w:rPr>
          <w:i/>
          <w:sz w:val="24"/>
          <w:szCs w:val="24"/>
        </w:rPr>
        <w:t>If you have any further questions around the autopsy procedure, please discuss these with the clinical team.</w:t>
      </w:r>
    </w:p>
    <w:p w:rsidR="005F5DF4" w:rsidRDefault="005F5DF4" w:rsidP="002D1B70">
      <w:pPr>
        <w:tabs>
          <w:tab w:val="left" w:pos="2673"/>
        </w:tabs>
        <w:rPr>
          <w:sz w:val="28"/>
          <w:szCs w:val="28"/>
        </w:rPr>
      </w:pPr>
    </w:p>
    <w:p w:rsidR="00C77C2C" w:rsidRPr="005B714E" w:rsidRDefault="00C77C2C" w:rsidP="002D1B70">
      <w:pPr>
        <w:tabs>
          <w:tab w:val="left" w:pos="2673"/>
        </w:tabs>
        <w:rPr>
          <w:sz w:val="28"/>
          <w:szCs w:val="28"/>
        </w:rPr>
      </w:pPr>
    </w:p>
    <w:p w:rsidR="005F5DF4" w:rsidRPr="00B63814" w:rsidRDefault="005F5DF4" w:rsidP="005F5DF4">
      <w:pPr>
        <w:tabs>
          <w:tab w:val="left" w:pos="2673"/>
        </w:tabs>
        <w:rPr>
          <w:sz w:val="24"/>
          <w:szCs w:val="24"/>
        </w:rPr>
      </w:pPr>
      <w:r w:rsidRPr="00B63814">
        <w:rPr>
          <w:sz w:val="24"/>
          <w:szCs w:val="24"/>
        </w:rPr>
        <w:t>For more information about:</w:t>
      </w:r>
    </w:p>
    <w:p w:rsidR="00B63814" w:rsidRPr="00B63814" w:rsidRDefault="00B63814" w:rsidP="00B63814">
      <w:pPr>
        <w:numPr>
          <w:ilvl w:val="0"/>
          <w:numId w:val="4"/>
        </w:numPr>
        <w:tabs>
          <w:tab w:val="left" w:pos="2673"/>
        </w:tabs>
        <w:rPr>
          <w:sz w:val="24"/>
          <w:szCs w:val="24"/>
        </w:rPr>
      </w:pPr>
      <w:r w:rsidRPr="00B63814">
        <w:rPr>
          <w:sz w:val="24"/>
          <w:szCs w:val="24"/>
        </w:rPr>
        <w:t xml:space="preserve">hospital and specialist services, go to </w:t>
      </w:r>
      <w:hyperlink r:id="rId11" w:history="1">
        <w:r w:rsidRPr="00B63814">
          <w:rPr>
            <w:rStyle w:val="Hyperlink"/>
            <w:sz w:val="24"/>
            <w:szCs w:val="24"/>
          </w:rPr>
          <w:t>www.cdhb.health.nz</w:t>
        </w:r>
      </w:hyperlink>
      <w:r w:rsidRPr="00B63814">
        <w:rPr>
          <w:sz w:val="24"/>
          <w:szCs w:val="24"/>
        </w:rPr>
        <w:t xml:space="preserve"> </w:t>
      </w:r>
    </w:p>
    <w:p w:rsidR="00917C4D" w:rsidRPr="00C77C2C" w:rsidRDefault="00824CA7" w:rsidP="005F5DF4">
      <w:pPr>
        <w:numPr>
          <w:ilvl w:val="0"/>
          <w:numId w:val="4"/>
        </w:numPr>
        <w:tabs>
          <w:tab w:val="left" w:pos="2673"/>
        </w:tabs>
        <w:rPr>
          <w:sz w:val="24"/>
          <w:szCs w:val="24"/>
        </w:rPr>
      </w:pPr>
      <w:r w:rsidRPr="00B63814">
        <w:rPr>
          <w:sz w:val="24"/>
          <w:szCs w:val="24"/>
        </w:rPr>
        <w:t xml:space="preserve">your health and medication, go to </w:t>
      </w:r>
      <w:hyperlink r:id="rId12" w:history="1">
        <w:r w:rsidRPr="00B63814">
          <w:rPr>
            <w:rStyle w:val="Hyperlink"/>
            <w:sz w:val="24"/>
            <w:szCs w:val="24"/>
          </w:rPr>
          <w:t>www.healthinfo.org.nz</w:t>
        </w:r>
      </w:hyperlink>
      <w:r w:rsidRPr="00B63814">
        <w:rPr>
          <w:sz w:val="24"/>
          <w:szCs w:val="24"/>
        </w:rPr>
        <w:t xml:space="preserve"> </w:t>
      </w:r>
    </w:p>
    <w:sectPr w:rsidR="00917C4D" w:rsidRPr="00C77C2C" w:rsidSect="004D10DD">
      <w:footerReference w:type="default" r:id="rId13"/>
      <w:pgSz w:w="11906" w:h="16838"/>
      <w:pgMar w:top="680" w:right="1134" w:bottom="1985" w:left="1134"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8C3" w:rsidRDefault="002178C3" w:rsidP="002178C3">
      <w:pPr>
        <w:spacing w:after="0" w:line="240" w:lineRule="auto"/>
      </w:pPr>
      <w:r>
        <w:separator/>
      </w:r>
    </w:p>
  </w:endnote>
  <w:endnote w:type="continuationSeparator" w:id="0">
    <w:p w:rsidR="002178C3" w:rsidRDefault="002178C3" w:rsidP="00217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4109"/>
      <w:gridCol w:w="1410"/>
      <w:gridCol w:w="2835"/>
    </w:tblGrid>
    <w:tr w:rsidR="002D1B70" w:rsidRPr="002178C3" w:rsidTr="00A00926">
      <w:trPr>
        <w:trHeight w:val="457"/>
        <w:jc w:val="center"/>
      </w:trPr>
      <w:tc>
        <w:tcPr>
          <w:tcW w:w="2136" w:type="dxa"/>
          <w:vMerge w:val="restart"/>
          <w:shd w:val="clear" w:color="auto" w:fill="auto"/>
        </w:tcPr>
        <w:p w:rsidR="002D1B70" w:rsidRPr="002178C3" w:rsidRDefault="00CE16BD" w:rsidP="005B5AD3">
          <w:pPr>
            <w:pStyle w:val="Footer"/>
          </w:pPr>
          <w:r>
            <w:rPr>
              <w:rFonts w:ascii="Segoe UI" w:hAnsi="Segoe UI" w:cs="Segoe UI"/>
              <w:noProof/>
              <w:color w:val="0000FF"/>
              <w:sz w:val="20"/>
              <w:szCs w:val="20"/>
              <w:lang w:eastAsia="en-NZ"/>
            </w:rPr>
            <w:drawing>
              <wp:inline distT="0" distB="0" distL="0" distR="0">
                <wp:extent cx="1152250" cy="558121"/>
                <wp:effectExtent l="0" t="0" r="0" b="0"/>
                <wp:docPr id="3" name="Picture 3" descr="Pictur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1602" cy="577182"/>
                        </a:xfrm>
                        <a:prstGeom prst="rect">
                          <a:avLst/>
                        </a:prstGeom>
                        <a:noFill/>
                        <a:ln>
                          <a:noFill/>
                        </a:ln>
                      </pic:spPr>
                    </pic:pic>
                  </a:graphicData>
                </a:graphic>
              </wp:inline>
            </w:drawing>
          </w:r>
        </w:p>
      </w:tc>
      <w:tc>
        <w:tcPr>
          <w:tcW w:w="4109" w:type="dxa"/>
          <w:vAlign w:val="bottom"/>
        </w:tcPr>
        <w:p w:rsidR="002D1B70" w:rsidRPr="00C11897" w:rsidRDefault="002D1B70" w:rsidP="00602A7C">
          <w:pPr>
            <w:pStyle w:val="Footer"/>
            <w:rPr>
              <w:sz w:val="20"/>
              <w:szCs w:val="20"/>
            </w:rPr>
          </w:pPr>
          <w:r w:rsidRPr="00C11897">
            <w:rPr>
              <w:sz w:val="20"/>
              <w:szCs w:val="20"/>
            </w:rPr>
            <w:t>Authoriser:</w:t>
          </w:r>
          <w:r w:rsidR="00B32854" w:rsidRPr="00C11897">
            <w:rPr>
              <w:sz w:val="20"/>
              <w:szCs w:val="20"/>
            </w:rPr>
            <w:t xml:space="preserve"> </w:t>
          </w:r>
        </w:p>
      </w:tc>
      <w:tc>
        <w:tcPr>
          <w:tcW w:w="1410" w:type="dxa"/>
          <w:vAlign w:val="bottom"/>
        </w:tcPr>
        <w:p w:rsidR="002D1B70" w:rsidRPr="00C11897" w:rsidRDefault="002D1B70" w:rsidP="00602A7C">
          <w:pPr>
            <w:pStyle w:val="Footer"/>
            <w:rPr>
              <w:sz w:val="20"/>
              <w:szCs w:val="20"/>
            </w:rPr>
          </w:pPr>
          <w:r w:rsidRPr="00C11897">
            <w:rPr>
              <w:sz w:val="20"/>
              <w:szCs w:val="20"/>
            </w:rPr>
            <w:t>Ref:</w:t>
          </w:r>
          <w:r w:rsidR="00F145F4" w:rsidRPr="00C11897">
            <w:rPr>
              <w:sz w:val="20"/>
              <w:szCs w:val="20"/>
            </w:rPr>
            <w:t xml:space="preserve"> </w:t>
          </w:r>
        </w:p>
      </w:tc>
      <w:tc>
        <w:tcPr>
          <w:tcW w:w="2835" w:type="dxa"/>
          <w:vMerge w:val="restart"/>
          <w:shd w:val="clear" w:color="auto" w:fill="auto"/>
        </w:tcPr>
        <w:p w:rsidR="002D1B70" w:rsidRPr="002178C3" w:rsidRDefault="00496021" w:rsidP="002D1B70">
          <w:pPr>
            <w:pStyle w:val="Footer"/>
            <w:jc w:val="right"/>
          </w:pPr>
          <w:r>
            <w:rPr>
              <w:noProof/>
            </w:rPr>
            <w:drawing>
              <wp:inline distT="0" distB="0" distL="0" distR="0" wp14:anchorId="59405236" wp14:editId="139ECE57">
                <wp:extent cx="1245952" cy="7239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2217" cy="745067"/>
                        </a:xfrm>
                        <a:prstGeom prst="rect">
                          <a:avLst/>
                        </a:prstGeom>
                        <a:noFill/>
                      </pic:spPr>
                    </pic:pic>
                  </a:graphicData>
                </a:graphic>
              </wp:inline>
            </w:drawing>
          </w:r>
        </w:p>
      </w:tc>
    </w:tr>
    <w:tr w:rsidR="002D1B70" w:rsidRPr="002178C3" w:rsidTr="00A00926">
      <w:trPr>
        <w:trHeight w:val="457"/>
        <w:jc w:val="center"/>
      </w:trPr>
      <w:tc>
        <w:tcPr>
          <w:tcW w:w="2136" w:type="dxa"/>
          <w:vMerge/>
        </w:tcPr>
        <w:p w:rsidR="002D1B70" w:rsidRPr="002178C3" w:rsidRDefault="002D1B70" w:rsidP="00432545">
          <w:pPr>
            <w:pStyle w:val="Footer"/>
            <w:spacing w:before="120"/>
          </w:pPr>
        </w:p>
      </w:tc>
      <w:tc>
        <w:tcPr>
          <w:tcW w:w="4109" w:type="dxa"/>
          <w:vAlign w:val="bottom"/>
        </w:tcPr>
        <w:p w:rsidR="002D1B70" w:rsidRPr="00C11897" w:rsidRDefault="002D1B70" w:rsidP="00602A7C">
          <w:pPr>
            <w:pStyle w:val="Footer"/>
            <w:rPr>
              <w:sz w:val="20"/>
              <w:szCs w:val="20"/>
            </w:rPr>
          </w:pPr>
          <w:r w:rsidRPr="00C11897">
            <w:rPr>
              <w:sz w:val="20"/>
              <w:szCs w:val="20"/>
            </w:rPr>
            <w:t>Issue date:</w:t>
          </w:r>
          <w:r w:rsidR="0060612E">
            <w:rPr>
              <w:sz w:val="20"/>
              <w:szCs w:val="20"/>
            </w:rPr>
            <w:t xml:space="preserve"> August 2020</w:t>
          </w:r>
        </w:p>
      </w:tc>
      <w:tc>
        <w:tcPr>
          <w:tcW w:w="1410" w:type="dxa"/>
          <w:vAlign w:val="bottom"/>
        </w:tcPr>
        <w:p w:rsidR="002D1B70" w:rsidRPr="00C11897" w:rsidRDefault="002D1B70" w:rsidP="00602A7C">
          <w:pPr>
            <w:pStyle w:val="Footer"/>
            <w:rPr>
              <w:sz w:val="20"/>
              <w:szCs w:val="20"/>
            </w:rPr>
          </w:pPr>
          <w:r w:rsidRPr="00C11897">
            <w:rPr>
              <w:sz w:val="20"/>
              <w:szCs w:val="20"/>
            </w:rPr>
            <w:t xml:space="preserve">Page </w:t>
          </w:r>
          <w:r w:rsidRPr="00C11897">
            <w:rPr>
              <w:sz w:val="20"/>
              <w:szCs w:val="20"/>
            </w:rPr>
            <w:fldChar w:fldCharType="begin"/>
          </w:r>
          <w:r w:rsidRPr="00C11897">
            <w:rPr>
              <w:sz w:val="20"/>
              <w:szCs w:val="20"/>
            </w:rPr>
            <w:instrText xml:space="preserve"> PAGE  \* Arabic  \* MERGEFORMAT </w:instrText>
          </w:r>
          <w:r w:rsidRPr="00C11897">
            <w:rPr>
              <w:sz w:val="20"/>
              <w:szCs w:val="20"/>
            </w:rPr>
            <w:fldChar w:fldCharType="separate"/>
          </w:r>
          <w:r w:rsidR="005F3EEB" w:rsidRPr="00C11897">
            <w:rPr>
              <w:noProof/>
              <w:sz w:val="20"/>
              <w:szCs w:val="20"/>
            </w:rPr>
            <w:t>1</w:t>
          </w:r>
          <w:r w:rsidRPr="00C11897">
            <w:rPr>
              <w:sz w:val="20"/>
              <w:szCs w:val="20"/>
            </w:rPr>
            <w:fldChar w:fldCharType="end"/>
          </w:r>
          <w:r w:rsidRPr="00C11897">
            <w:rPr>
              <w:sz w:val="20"/>
              <w:szCs w:val="20"/>
            </w:rPr>
            <w:t xml:space="preserve"> of </w:t>
          </w:r>
          <w:r w:rsidR="005F3EEB" w:rsidRPr="00C11897">
            <w:rPr>
              <w:sz w:val="20"/>
              <w:szCs w:val="20"/>
            </w:rPr>
            <w:fldChar w:fldCharType="begin"/>
          </w:r>
          <w:r w:rsidR="005F3EEB" w:rsidRPr="00C11897">
            <w:rPr>
              <w:sz w:val="20"/>
              <w:szCs w:val="20"/>
            </w:rPr>
            <w:instrText xml:space="preserve"> NUMPAGES  \* Arabic  \* MERGEFORMAT </w:instrText>
          </w:r>
          <w:r w:rsidR="005F3EEB" w:rsidRPr="00C11897">
            <w:rPr>
              <w:sz w:val="20"/>
              <w:szCs w:val="20"/>
            </w:rPr>
            <w:fldChar w:fldCharType="separate"/>
          </w:r>
          <w:r w:rsidR="005F3EEB" w:rsidRPr="00C11897">
            <w:rPr>
              <w:noProof/>
              <w:sz w:val="20"/>
              <w:szCs w:val="20"/>
            </w:rPr>
            <w:t>1</w:t>
          </w:r>
          <w:r w:rsidR="005F3EEB" w:rsidRPr="00C11897">
            <w:rPr>
              <w:noProof/>
              <w:sz w:val="20"/>
              <w:szCs w:val="20"/>
            </w:rPr>
            <w:fldChar w:fldCharType="end"/>
          </w:r>
        </w:p>
      </w:tc>
      <w:tc>
        <w:tcPr>
          <w:tcW w:w="2835" w:type="dxa"/>
          <w:vMerge/>
        </w:tcPr>
        <w:p w:rsidR="002D1B70" w:rsidRPr="002178C3" w:rsidRDefault="002D1B70" w:rsidP="002178C3">
          <w:pPr>
            <w:pStyle w:val="Footer"/>
            <w:rPr>
              <w:b/>
              <w:bCs/>
            </w:rPr>
          </w:pPr>
        </w:p>
      </w:tc>
    </w:tr>
  </w:tbl>
  <w:p w:rsidR="002178C3" w:rsidRPr="002178C3" w:rsidRDefault="002178C3" w:rsidP="002178C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8C3" w:rsidRDefault="002178C3" w:rsidP="002178C3">
      <w:pPr>
        <w:spacing w:after="0" w:line="240" w:lineRule="auto"/>
      </w:pPr>
      <w:r>
        <w:separator/>
      </w:r>
    </w:p>
  </w:footnote>
  <w:footnote w:type="continuationSeparator" w:id="0">
    <w:p w:rsidR="002178C3" w:rsidRDefault="002178C3" w:rsidP="00217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B5C03"/>
    <w:multiLevelType w:val="hybridMultilevel"/>
    <w:tmpl w:val="45182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1B060A2"/>
    <w:multiLevelType w:val="hybridMultilevel"/>
    <w:tmpl w:val="028C2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65941A0"/>
    <w:multiLevelType w:val="hybridMultilevel"/>
    <w:tmpl w:val="92C8A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8FB24DB"/>
    <w:multiLevelType w:val="hybridMultilevel"/>
    <w:tmpl w:val="31829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8C3"/>
    <w:rsid w:val="00061CBA"/>
    <w:rsid w:val="000A55FF"/>
    <w:rsid w:val="001112A7"/>
    <w:rsid w:val="0011539F"/>
    <w:rsid w:val="002178C3"/>
    <w:rsid w:val="002D1B70"/>
    <w:rsid w:val="00317632"/>
    <w:rsid w:val="003C2201"/>
    <w:rsid w:val="00416C25"/>
    <w:rsid w:val="00432545"/>
    <w:rsid w:val="00496021"/>
    <w:rsid w:val="004A52D5"/>
    <w:rsid w:val="004D10DD"/>
    <w:rsid w:val="005B5AD3"/>
    <w:rsid w:val="005B714E"/>
    <w:rsid w:val="005F3EEB"/>
    <w:rsid w:val="005F5DF4"/>
    <w:rsid w:val="00602A7C"/>
    <w:rsid w:val="00605BDD"/>
    <w:rsid w:val="0060612E"/>
    <w:rsid w:val="0068782D"/>
    <w:rsid w:val="006E1EF8"/>
    <w:rsid w:val="006E604F"/>
    <w:rsid w:val="0071009C"/>
    <w:rsid w:val="00714F9F"/>
    <w:rsid w:val="00812C13"/>
    <w:rsid w:val="008206D7"/>
    <w:rsid w:val="00824CA7"/>
    <w:rsid w:val="008F1295"/>
    <w:rsid w:val="00901DC3"/>
    <w:rsid w:val="009029D3"/>
    <w:rsid w:val="00917C4D"/>
    <w:rsid w:val="009440EB"/>
    <w:rsid w:val="00986D8F"/>
    <w:rsid w:val="00A00926"/>
    <w:rsid w:val="00A52593"/>
    <w:rsid w:val="00A96AA7"/>
    <w:rsid w:val="00AD331D"/>
    <w:rsid w:val="00B32854"/>
    <w:rsid w:val="00B63814"/>
    <w:rsid w:val="00C11897"/>
    <w:rsid w:val="00C2119D"/>
    <w:rsid w:val="00C21F0B"/>
    <w:rsid w:val="00C77C2C"/>
    <w:rsid w:val="00C8055A"/>
    <w:rsid w:val="00CC555D"/>
    <w:rsid w:val="00CE16BD"/>
    <w:rsid w:val="00D44D5A"/>
    <w:rsid w:val="00D830F4"/>
    <w:rsid w:val="00E31497"/>
    <w:rsid w:val="00F145F4"/>
    <w:rsid w:val="00F667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EDF0D"/>
  <w15:chartTrackingRefBased/>
  <w15:docId w15:val="{C853715E-F67E-41C3-8B73-71E22F69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8C3"/>
  </w:style>
  <w:style w:type="paragraph" w:styleId="Footer">
    <w:name w:val="footer"/>
    <w:basedOn w:val="Normal"/>
    <w:link w:val="FooterChar"/>
    <w:uiPriority w:val="99"/>
    <w:unhideWhenUsed/>
    <w:rsid w:val="00217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8C3"/>
  </w:style>
  <w:style w:type="table" w:styleId="TableGrid">
    <w:name w:val="Table Grid"/>
    <w:basedOn w:val="TableNormal"/>
    <w:uiPriority w:val="39"/>
    <w:rsid w:val="00217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dg">
    <w:name w:val="Sub Hdg"/>
    <w:basedOn w:val="Normal"/>
    <w:next w:val="Normal"/>
    <w:rsid w:val="00917C4D"/>
    <w:pPr>
      <w:keepNext/>
      <w:pBdr>
        <w:bottom w:val="single" w:sz="2" w:space="1" w:color="auto"/>
      </w:pBdr>
      <w:spacing w:before="240" w:after="120" w:line="240" w:lineRule="auto"/>
    </w:pPr>
    <w:rPr>
      <w:rFonts w:ascii="Verdana" w:eastAsia="Times New Roman" w:hAnsi="Verdana" w:cs="Times New Roman"/>
      <w:b/>
      <w:color w:val="333399"/>
      <w:sz w:val="24"/>
      <w:szCs w:val="24"/>
    </w:rPr>
  </w:style>
  <w:style w:type="paragraph" w:styleId="ListParagraph">
    <w:name w:val="List Paragraph"/>
    <w:basedOn w:val="Normal"/>
    <w:uiPriority w:val="34"/>
    <w:qFormat/>
    <w:rsid w:val="002D1B70"/>
    <w:pPr>
      <w:ind w:left="720"/>
      <w:contextualSpacing/>
    </w:pPr>
  </w:style>
  <w:style w:type="paragraph" w:styleId="BalloonText">
    <w:name w:val="Balloon Text"/>
    <w:basedOn w:val="Normal"/>
    <w:link w:val="BalloonTextChar"/>
    <w:uiPriority w:val="99"/>
    <w:semiHidden/>
    <w:unhideWhenUsed/>
    <w:rsid w:val="00AD3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31D"/>
    <w:rPr>
      <w:rFonts w:ascii="Segoe UI" w:hAnsi="Segoe UI" w:cs="Segoe UI"/>
      <w:sz w:val="18"/>
      <w:szCs w:val="18"/>
    </w:rPr>
  </w:style>
  <w:style w:type="table" w:customStyle="1" w:styleId="TableGrid1">
    <w:name w:val="Table Grid1"/>
    <w:basedOn w:val="TableNormal"/>
    <w:next w:val="TableGrid"/>
    <w:uiPriority w:val="59"/>
    <w:rsid w:val="008F1295"/>
    <w:pPr>
      <w:spacing w:before="240" w:after="12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5D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742">
      <w:bodyDiv w:val="1"/>
      <w:marLeft w:val="0"/>
      <w:marRight w:val="0"/>
      <w:marTop w:val="0"/>
      <w:marBottom w:val="0"/>
      <w:divBdr>
        <w:top w:val="none" w:sz="0" w:space="0" w:color="auto"/>
        <w:left w:val="none" w:sz="0" w:space="0" w:color="auto"/>
        <w:bottom w:val="none" w:sz="0" w:space="0" w:color="auto"/>
        <w:right w:val="none" w:sz="0" w:space="0" w:color="auto"/>
      </w:divBdr>
    </w:div>
    <w:div w:id="24868877">
      <w:bodyDiv w:val="1"/>
      <w:marLeft w:val="0"/>
      <w:marRight w:val="0"/>
      <w:marTop w:val="0"/>
      <w:marBottom w:val="0"/>
      <w:divBdr>
        <w:top w:val="none" w:sz="0" w:space="0" w:color="auto"/>
        <w:left w:val="none" w:sz="0" w:space="0" w:color="auto"/>
        <w:bottom w:val="none" w:sz="0" w:space="0" w:color="auto"/>
        <w:right w:val="none" w:sz="0" w:space="0" w:color="auto"/>
      </w:divBdr>
    </w:div>
    <w:div w:id="52851949">
      <w:bodyDiv w:val="1"/>
      <w:marLeft w:val="0"/>
      <w:marRight w:val="0"/>
      <w:marTop w:val="0"/>
      <w:marBottom w:val="0"/>
      <w:divBdr>
        <w:top w:val="none" w:sz="0" w:space="0" w:color="auto"/>
        <w:left w:val="none" w:sz="0" w:space="0" w:color="auto"/>
        <w:bottom w:val="none" w:sz="0" w:space="0" w:color="auto"/>
        <w:right w:val="none" w:sz="0" w:space="0" w:color="auto"/>
      </w:divBdr>
    </w:div>
    <w:div w:id="88426317">
      <w:bodyDiv w:val="1"/>
      <w:marLeft w:val="0"/>
      <w:marRight w:val="0"/>
      <w:marTop w:val="0"/>
      <w:marBottom w:val="0"/>
      <w:divBdr>
        <w:top w:val="none" w:sz="0" w:space="0" w:color="auto"/>
        <w:left w:val="none" w:sz="0" w:space="0" w:color="auto"/>
        <w:bottom w:val="none" w:sz="0" w:space="0" w:color="auto"/>
        <w:right w:val="none" w:sz="0" w:space="0" w:color="auto"/>
      </w:divBdr>
    </w:div>
    <w:div w:id="101729960">
      <w:bodyDiv w:val="1"/>
      <w:marLeft w:val="0"/>
      <w:marRight w:val="0"/>
      <w:marTop w:val="0"/>
      <w:marBottom w:val="0"/>
      <w:divBdr>
        <w:top w:val="none" w:sz="0" w:space="0" w:color="auto"/>
        <w:left w:val="none" w:sz="0" w:space="0" w:color="auto"/>
        <w:bottom w:val="none" w:sz="0" w:space="0" w:color="auto"/>
        <w:right w:val="none" w:sz="0" w:space="0" w:color="auto"/>
      </w:divBdr>
    </w:div>
    <w:div w:id="582304916">
      <w:bodyDiv w:val="1"/>
      <w:marLeft w:val="0"/>
      <w:marRight w:val="0"/>
      <w:marTop w:val="0"/>
      <w:marBottom w:val="0"/>
      <w:divBdr>
        <w:top w:val="none" w:sz="0" w:space="0" w:color="auto"/>
        <w:left w:val="none" w:sz="0" w:space="0" w:color="auto"/>
        <w:bottom w:val="none" w:sz="0" w:space="0" w:color="auto"/>
        <w:right w:val="none" w:sz="0" w:space="0" w:color="auto"/>
      </w:divBdr>
    </w:div>
    <w:div w:id="588345745">
      <w:bodyDiv w:val="1"/>
      <w:marLeft w:val="0"/>
      <w:marRight w:val="0"/>
      <w:marTop w:val="0"/>
      <w:marBottom w:val="0"/>
      <w:divBdr>
        <w:top w:val="none" w:sz="0" w:space="0" w:color="auto"/>
        <w:left w:val="none" w:sz="0" w:space="0" w:color="auto"/>
        <w:bottom w:val="none" w:sz="0" w:space="0" w:color="auto"/>
        <w:right w:val="none" w:sz="0" w:space="0" w:color="auto"/>
      </w:divBdr>
    </w:div>
    <w:div w:id="728117435">
      <w:bodyDiv w:val="1"/>
      <w:marLeft w:val="0"/>
      <w:marRight w:val="0"/>
      <w:marTop w:val="0"/>
      <w:marBottom w:val="0"/>
      <w:divBdr>
        <w:top w:val="none" w:sz="0" w:space="0" w:color="auto"/>
        <w:left w:val="none" w:sz="0" w:space="0" w:color="auto"/>
        <w:bottom w:val="none" w:sz="0" w:space="0" w:color="auto"/>
        <w:right w:val="none" w:sz="0" w:space="0" w:color="auto"/>
      </w:divBdr>
    </w:div>
    <w:div w:id="777485541">
      <w:bodyDiv w:val="1"/>
      <w:marLeft w:val="0"/>
      <w:marRight w:val="0"/>
      <w:marTop w:val="0"/>
      <w:marBottom w:val="0"/>
      <w:divBdr>
        <w:top w:val="none" w:sz="0" w:space="0" w:color="auto"/>
        <w:left w:val="none" w:sz="0" w:space="0" w:color="auto"/>
        <w:bottom w:val="none" w:sz="0" w:space="0" w:color="auto"/>
        <w:right w:val="none" w:sz="0" w:space="0" w:color="auto"/>
      </w:divBdr>
    </w:div>
    <w:div w:id="790828317">
      <w:bodyDiv w:val="1"/>
      <w:marLeft w:val="0"/>
      <w:marRight w:val="0"/>
      <w:marTop w:val="0"/>
      <w:marBottom w:val="0"/>
      <w:divBdr>
        <w:top w:val="none" w:sz="0" w:space="0" w:color="auto"/>
        <w:left w:val="none" w:sz="0" w:space="0" w:color="auto"/>
        <w:bottom w:val="none" w:sz="0" w:space="0" w:color="auto"/>
        <w:right w:val="none" w:sz="0" w:space="0" w:color="auto"/>
      </w:divBdr>
    </w:div>
    <w:div w:id="838229404">
      <w:bodyDiv w:val="1"/>
      <w:marLeft w:val="0"/>
      <w:marRight w:val="0"/>
      <w:marTop w:val="0"/>
      <w:marBottom w:val="0"/>
      <w:divBdr>
        <w:top w:val="none" w:sz="0" w:space="0" w:color="auto"/>
        <w:left w:val="none" w:sz="0" w:space="0" w:color="auto"/>
        <w:bottom w:val="none" w:sz="0" w:space="0" w:color="auto"/>
        <w:right w:val="none" w:sz="0" w:space="0" w:color="auto"/>
      </w:divBdr>
    </w:div>
    <w:div w:id="957755268">
      <w:bodyDiv w:val="1"/>
      <w:marLeft w:val="0"/>
      <w:marRight w:val="0"/>
      <w:marTop w:val="0"/>
      <w:marBottom w:val="0"/>
      <w:divBdr>
        <w:top w:val="none" w:sz="0" w:space="0" w:color="auto"/>
        <w:left w:val="none" w:sz="0" w:space="0" w:color="auto"/>
        <w:bottom w:val="none" w:sz="0" w:space="0" w:color="auto"/>
        <w:right w:val="none" w:sz="0" w:space="0" w:color="auto"/>
      </w:divBdr>
    </w:div>
    <w:div w:id="1017657511">
      <w:bodyDiv w:val="1"/>
      <w:marLeft w:val="0"/>
      <w:marRight w:val="0"/>
      <w:marTop w:val="0"/>
      <w:marBottom w:val="0"/>
      <w:divBdr>
        <w:top w:val="none" w:sz="0" w:space="0" w:color="auto"/>
        <w:left w:val="none" w:sz="0" w:space="0" w:color="auto"/>
        <w:bottom w:val="none" w:sz="0" w:space="0" w:color="auto"/>
        <w:right w:val="none" w:sz="0" w:space="0" w:color="auto"/>
      </w:divBdr>
    </w:div>
    <w:div w:id="1057976639">
      <w:bodyDiv w:val="1"/>
      <w:marLeft w:val="0"/>
      <w:marRight w:val="0"/>
      <w:marTop w:val="0"/>
      <w:marBottom w:val="0"/>
      <w:divBdr>
        <w:top w:val="none" w:sz="0" w:space="0" w:color="auto"/>
        <w:left w:val="none" w:sz="0" w:space="0" w:color="auto"/>
        <w:bottom w:val="none" w:sz="0" w:space="0" w:color="auto"/>
        <w:right w:val="none" w:sz="0" w:space="0" w:color="auto"/>
      </w:divBdr>
    </w:div>
    <w:div w:id="1058868359">
      <w:bodyDiv w:val="1"/>
      <w:marLeft w:val="0"/>
      <w:marRight w:val="0"/>
      <w:marTop w:val="0"/>
      <w:marBottom w:val="0"/>
      <w:divBdr>
        <w:top w:val="none" w:sz="0" w:space="0" w:color="auto"/>
        <w:left w:val="none" w:sz="0" w:space="0" w:color="auto"/>
        <w:bottom w:val="none" w:sz="0" w:space="0" w:color="auto"/>
        <w:right w:val="none" w:sz="0" w:space="0" w:color="auto"/>
      </w:divBdr>
    </w:div>
    <w:div w:id="1243416126">
      <w:bodyDiv w:val="1"/>
      <w:marLeft w:val="0"/>
      <w:marRight w:val="0"/>
      <w:marTop w:val="0"/>
      <w:marBottom w:val="0"/>
      <w:divBdr>
        <w:top w:val="none" w:sz="0" w:space="0" w:color="auto"/>
        <w:left w:val="none" w:sz="0" w:space="0" w:color="auto"/>
        <w:bottom w:val="none" w:sz="0" w:space="0" w:color="auto"/>
        <w:right w:val="none" w:sz="0" w:space="0" w:color="auto"/>
      </w:divBdr>
    </w:div>
    <w:div w:id="1384061932">
      <w:bodyDiv w:val="1"/>
      <w:marLeft w:val="0"/>
      <w:marRight w:val="0"/>
      <w:marTop w:val="0"/>
      <w:marBottom w:val="0"/>
      <w:divBdr>
        <w:top w:val="none" w:sz="0" w:space="0" w:color="auto"/>
        <w:left w:val="none" w:sz="0" w:space="0" w:color="auto"/>
        <w:bottom w:val="none" w:sz="0" w:space="0" w:color="auto"/>
        <w:right w:val="none" w:sz="0" w:space="0" w:color="auto"/>
      </w:divBdr>
    </w:div>
    <w:div w:id="1414202334">
      <w:bodyDiv w:val="1"/>
      <w:marLeft w:val="0"/>
      <w:marRight w:val="0"/>
      <w:marTop w:val="0"/>
      <w:marBottom w:val="0"/>
      <w:divBdr>
        <w:top w:val="none" w:sz="0" w:space="0" w:color="auto"/>
        <w:left w:val="none" w:sz="0" w:space="0" w:color="auto"/>
        <w:bottom w:val="none" w:sz="0" w:space="0" w:color="auto"/>
        <w:right w:val="none" w:sz="0" w:space="0" w:color="auto"/>
      </w:divBdr>
    </w:div>
    <w:div w:id="1588660518">
      <w:bodyDiv w:val="1"/>
      <w:marLeft w:val="0"/>
      <w:marRight w:val="0"/>
      <w:marTop w:val="0"/>
      <w:marBottom w:val="0"/>
      <w:divBdr>
        <w:top w:val="none" w:sz="0" w:space="0" w:color="auto"/>
        <w:left w:val="none" w:sz="0" w:space="0" w:color="auto"/>
        <w:bottom w:val="none" w:sz="0" w:space="0" w:color="auto"/>
        <w:right w:val="none" w:sz="0" w:space="0" w:color="auto"/>
      </w:divBdr>
    </w:div>
    <w:div w:id="1641693833">
      <w:bodyDiv w:val="1"/>
      <w:marLeft w:val="0"/>
      <w:marRight w:val="0"/>
      <w:marTop w:val="0"/>
      <w:marBottom w:val="0"/>
      <w:divBdr>
        <w:top w:val="none" w:sz="0" w:space="0" w:color="auto"/>
        <w:left w:val="none" w:sz="0" w:space="0" w:color="auto"/>
        <w:bottom w:val="none" w:sz="0" w:space="0" w:color="auto"/>
        <w:right w:val="none" w:sz="0" w:space="0" w:color="auto"/>
      </w:divBdr>
    </w:div>
    <w:div w:id="1665939270">
      <w:bodyDiv w:val="1"/>
      <w:marLeft w:val="0"/>
      <w:marRight w:val="0"/>
      <w:marTop w:val="0"/>
      <w:marBottom w:val="0"/>
      <w:divBdr>
        <w:top w:val="none" w:sz="0" w:space="0" w:color="auto"/>
        <w:left w:val="none" w:sz="0" w:space="0" w:color="auto"/>
        <w:bottom w:val="none" w:sz="0" w:space="0" w:color="auto"/>
        <w:right w:val="none" w:sz="0" w:space="0" w:color="auto"/>
      </w:divBdr>
    </w:div>
    <w:div w:id="1774087558">
      <w:bodyDiv w:val="1"/>
      <w:marLeft w:val="0"/>
      <w:marRight w:val="0"/>
      <w:marTop w:val="0"/>
      <w:marBottom w:val="0"/>
      <w:divBdr>
        <w:top w:val="none" w:sz="0" w:space="0" w:color="auto"/>
        <w:left w:val="none" w:sz="0" w:space="0" w:color="auto"/>
        <w:bottom w:val="none" w:sz="0" w:space="0" w:color="auto"/>
        <w:right w:val="none" w:sz="0" w:space="0" w:color="auto"/>
      </w:divBdr>
    </w:div>
    <w:div w:id="1855026241">
      <w:bodyDiv w:val="1"/>
      <w:marLeft w:val="0"/>
      <w:marRight w:val="0"/>
      <w:marTop w:val="0"/>
      <w:marBottom w:val="0"/>
      <w:divBdr>
        <w:top w:val="none" w:sz="0" w:space="0" w:color="auto"/>
        <w:left w:val="none" w:sz="0" w:space="0" w:color="auto"/>
        <w:bottom w:val="none" w:sz="0" w:space="0" w:color="auto"/>
        <w:right w:val="none" w:sz="0" w:space="0" w:color="auto"/>
      </w:divBdr>
    </w:div>
    <w:div w:id="2017147688">
      <w:bodyDiv w:val="1"/>
      <w:marLeft w:val="0"/>
      <w:marRight w:val="0"/>
      <w:marTop w:val="0"/>
      <w:marBottom w:val="0"/>
      <w:divBdr>
        <w:top w:val="none" w:sz="0" w:space="0" w:color="auto"/>
        <w:left w:val="none" w:sz="0" w:space="0" w:color="auto"/>
        <w:bottom w:val="none" w:sz="0" w:space="0" w:color="auto"/>
        <w:right w:val="none" w:sz="0" w:space="0" w:color="auto"/>
      </w:divBdr>
    </w:div>
    <w:div w:id="2029209570">
      <w:bodyDiv w:val="1"/>
      <w:marLeft w:val="0"/>
      <w:marRight w:val="0"/>
      <w:marTop w:val="0"/>
      <w:marBottom w:val="0"/>
      <w:divBdr>
        <w:top w:val="none" w:sz="0" w:space="0" w:color="auto"/>
        <w:left w:val="none" w:sz="0" w:space="0" w:color="auto"/>
        <w:bottom w:val="none" w:sz="0" w:space="0" w:color="auto"/>
        <w:right w:val="none" w:sz="0" w:space="0" w:color="auto"/>
      </w:divBdr>
    </w:div>
    <w:div w:id="20476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lthinfo.org.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hb.health.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s://cdhbintranet.cdhb.health.nz/corporate/Communications/PublishingImages/Brand%202%20(Smal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9EC88EF741F42B635FFAB8FF1B8A8" ma:contentTypeVersion="1" ma:contentTypeDescription="Create a new document." ma:contentTypeScope="" ma:versionID="421946fc4d678e63a9aced99f59f67ce">
  <xsd:schema xmlns:xsd="http://www.w3.org/2001/XMLSchema" xmlns:xs="http://www.w3.org/2001/XMLSchema" xmlns:p="http://schemas.microsoft.com/office/2006/metadata/properties" xmlns:ns2="694b72f1-e6ba-4ca9-8706-4da70e7e40a1" targetNamespace="http://schemas.microsoft.com/office/2006/metadata/properties" ma:root="true" ma:fieldsID="39673bd860a5bb0004bbcc68ccfc7415" ns2:_="">
    <xsd:import namespace="694b72f1-e6ba-4ca9-8706-4da70e7e40a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b72f1-e6ba-4ca9-8706-4da70e7e40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94b72f1-e6ba-4ca9-8706-4da70e7e40a1">CDHB-1845844056-1</_dlc_DocId>
    <_dlc_DocIdUrl xmlns="694b72f1-e6ba-4ca9-8706-4da70e7e40a1">
      <Url>https://prism.cdhb.health.nz/site/policies/_layouts/15/DocIdRedir.aspx?ID=CDHB-1845844056-1</Url>
      <Description>CDHB-1845844056-1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514EC0-5CF5-4C7A-AF50-422356B61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b72f1-e6ba-4ca9-8706-4da70e7e4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E81EA-9F16-4F1D-A995-06FF8AB9673A}">
  <ds:schemaRefs>
    <ds:schemaRef ds:uri="http://schemas.microsoft.com/sharepoint/v3/contenttype/forms"/>
  </ds:schemaRefs>
</ds:datastoreItem>
</file>

<file path=customXml/itemProps3.xml><?xml version="1.0" encoding="utf-8"?>
<ds:datastoreItem xmlns:ds="http://schemas.openxmlformats.org/officeDocument/2006/customXml" ds:itemID="{2014788E-6295-47F0-A502-14FD1782B0EA}">
  <ds:schemaRefs>
    <ds:schemaRef ds:uri="694b72f1-e6ba-4ca9-8706-4da70e7e40a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D950541-C693-4C1D-A95D-5391A84BB1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ED8AFE73</Template>
  <TotalTime>49</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dc:description/>
  <cp:lastModifiedBy>Lauren Ekers</cp:lastModifiedBy>
  <cp:revision>8</cp:revision>
  <cp:lastPrinted>2019-10-29T01:40:00Z</cp:lastPrinted>
  <dcterms:created xsi:type="dcterms:W3CDTF">2020-08-23T22:29:00Z</dcterms:created>
  <dcterms:modified xsi:type="dcterms:W3CDTF">2020-08-23T23:24:00Z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0x010100AF79EC88EF741F42B635FFAB8FF1B8A8</vt:lpwstr>
  </property>
  <property fmtid="{D5CDD505-2E9C-101B-9397-08002B2CF9AE}" pid="3" name="_dlc_DocIdItemGuid">
    <vt:lpwstr>a36d7079-bb35-4417-9738-2ae22e45d93c</vt:lpwstr>
  </property>
</Properties>
</file>