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378" w:rsidRPr="00F400B0" w:rsidRDefault="006A7378" w:rsidP="00F400B0">
      <w:pPr>
        <w:jc w:val="center"/>
        <w:rPr>
          <w:rFonts w:asciiTheme="minorHAnsi" w:eastAsia="Times New Roman" w:hAnsiTheme="minorHAnsi"/>
          <w:b/>
          <w:sz w:val="28"/>
          <w:szCs w:val="28"/>
        </w:rPr>
      </w:pPr>
      <w:bookmarkStart w:id="0" w:name="_GoBack"/>
      <w:bookmarkEnd w:id="0"/>
      <w:r w:rsidRPr="00F400B0">
        <w:rPr>
          <w:rFonts w:asciiTheme="minorHAnsi" w:eastAsia="Times New Roman" w:hAnsiTheme="minorHAnsi"/>
          <w:b/>
          <w:sz w:val="28"/>
          <w:szCs w:val="28"/>
        </w:rPr>
        <w:t>Standing</w:t>
      </w:r>
      <w:r w:rsidR="00011038">
        <w:rPr>
          <w:rFonts w:asciiTheme="minorHAnsi" w:eastAsia="Times New Roman" w:hAnsiTheme="minorHAnsi"/>
          <w:b/>
          <w:sz w:val="28"/>
          <w:szCs w:val="28"/>
        </w:rPr>
        <w:t xml:space="preserve"> to Work</w:t>
      </w:r>
    </w:p>
    <w:p w:rsidR="006A7378" w:rsidRPr="006A7378" w:rsidRDefault="006A7378" w:rsidP="006A7378">
      <w:pPr>
        <w:rPr>
          <w:rFonts w:asciiTheme="minorHAnsi" w:eastAsia="Times New Roman" w:hAnsiTheme="minorHAnsi"/>
          <w:sz w:val="22"/>
          <w:szCs w:val="22"/>
        </w:rPr>
      </w:pPr>
    </w:p>
    <w:p w:rsidR="006A7378" w:rsidRPr="006A7378" w:rsidRDefault="006A7378" w:rsidP="006A7378">
      <w:pPr>
        <w:rPr>
          <w:rFonts w:asciiTheme="minorHAnsi" w:eastAsia="Times New Roman" w:hAnsiTheme="minorHAnsi"/>
          <w:sz w:val="22"/>
          <w:szCs w:val="22"/>
        </w:rPr>
      </w:pPr>
    </w:p>
    <w:p w:rsidR="00011038" w:rsidRDefault="006A7378" w:rsidP="006A7378">
      <w:pPr>
        <w:rPr>
          <w:rFonts w:asciiTheme="minorHAnsi" w:hAnsiTheme="minorHAnsi"/>
          <w:sz w:val="22"/>
          <w:szCs w:val="22"/>
        </w:rPr>
      </w:pPr>
      <w:r w:rsidRPr="006A7378">
        <w:rPr>
          <w:rFonts w:asciiTheme="minorHAnsi" w:hAnsiTheme="minorHAnsi"/>
          <w:sz w:val="22"/>
          <w:szCs w:val="22"/>
        </w:rPr>
        <w:t>There has been growing interest in standing desks.  There have been a number of published articles about the health benefits of these desks. A recent article 'A systematic review of standing and treadmill desks in the workplace' by MacEwen </w:t>
      </w:r>
      <w:r w:rsidR="00011038" w:rsidRPr="00011038">
        <w:rPr>
          <w:rFonts w:asciiTheme="minorHAnsi" w:hAnsiTheme="minorHAnsi"/>
          <w:i/>
          <w:sz w:val="22"/>
          <w:szCs w:val="22"/>
        </w:rPr>
        <w:t>e</w:t>
      </w:r>
      <w:r w:rsidRPr="00011038">
        <w:rPr>
          <w:rFonts w:asciiTheme="minorHAnsi" w:hAnsiTheme="minorHAnsi"/>
          <w:i/>
          <w:sz w:val="22"/>
          <w:szCs w:val="22"/>
        </w:rPr>
        <w:t>t al</w:t>
      </w:r>
      <w:r w:rsidRPr="006A7378">
        <w:rPr>
          <w:rFonts w:asciiTheme="minorHAnsi" w:hAnsiTheme="minorHAnsi"/>
          <w:sz w:val="22"/>
          <w:szCs w:val="22"/>
        </w:rPr>
        <w:t xml:space="preserve"> in Preventive Medicine 70 (2015) 50</w:t>
      </w:r>
      <w:r w:rsidRPr="006A7378">
        <w:rPr>
          <w:rFonts w:asciiTheme="minorHAnsi" w:eastAsia="Times New Roman" w:hAnsiTheme="minorHAnsi" w:cs="Helvetica"/>
          <w:sz w:val="22"/>
          <w:szCs w:val="22"/>
        </w:rPr>
        <w:t>–</w:t>
      </w:r>
      <w:r w:rsidRPr="006A7378">
        <w:rPr>
          <w:rFonts w:asciiTheme="minorHAnsi" w:hAnsiTheme="minorHAnsi"/>
          <w:sz w:val="22"/>
          <w:szCs w:val="22"/>
        </w:rPr>
        <w:t>58 reported that</w:t>
      </w:r>
      <w:r w:rsidR="00011038">
        <w:rPr>
          <w:rFonts w:asciiTheme="minorHAnsi" w:hAnsiTheme="minorHAnsi"/>
          <w:sz w:val="22"/>
          <w:szCs w:val="22"/>
        </w:rPr>
        <w:t>:</w:t>
      </w:r>
    </w:p>
    <w:p w:rsidR="00011038" w:rsidRDefault="00011038" w:rsidP="006A7378">
      <w:pPr>
        <w:rPr>
          <w:rFonts w:asciiTheme="minorHAnsi" w:hAnsiTheme="minorHAnsi"/>
          <w:sz w:val="22"/>
          <w:szCs w:val="22"/>
        </w:rPr>
      </w:pPr>
    </w:p>
    <w:p w:rsidR="00011038" w:rsidRPr="00011038" w:rsidRDefault="006A7378" w:rsidP="00011038">
      <w:pPr>
        <w:ind w:left="720"/>
        <w:rPr>
          <w:rFonts w:asciiTheme="minorHAnsi" w:hAnsiTheme="minorHAnsi"/>
          <w:i/>
          <w:sz w:val="22"/>
          <w:szCs w:val="22"/>
        </w:rPr>
      </w:pPr>
      <w:r w:rsidRPr="006A7378">
        <w:rPr>
          <w:rFonts w:asciiTheme="minorHAnsi" w:hAnsiTheme="minorHAnsi"/>
          <w:sz w:val="22"/>
          <w:szCs w:val="22"/>
        </w:rPr>
        <w:t xml:space="preserve"> </w:t>
      </w:r>
      <w:r w:rsidRPr="00011038">
        <w:rPr>
          <w:rFonts w:asciiTheme="minorHAnsi" w:hAnsiTheme="minorHAnsi"/>
          <w:i/>
          <w:sz w:val="22"/>
          <w:szCs w:val="22"/>
        </w:rPr>
        <w:t>"Standing and treadmill desks show some utility for breaking up sitting time and potentially improving select components of health. At present, however, there exist substantial evidence gaps to comprehensively evaluate the utility of each type of desk to enhance health bene</w:t>
      </w:r>
      <w:r w:rsidRPr="00011038">
        <w:rPr>
          <w:rFonts w:asciiTheme="minorHAnsi" w:eastAsia="Times New Roman" w:hAnsiTheme="minorHAnsi" w:cs="Helvetica"/>
          <w:i/>
          <w:sz w:val="22"/>
          <w:szCs w:val="22"/>
        </w:rPr>
        <w:t>fi</w:t>
      </w:r>
      <w:r w:rsidRPr="00011038">
        <w:rPr>
          <w:rFonts w:asciiTheme="minorHAnsi" w:hAnsiTheme="minorHAnsi"/>
          <w:i/>
          <w:sz w:val="22"/>
          <w:szCs w:val="22"/>
        </w:rPr>
        <w:t>ts by reducing sedentary time".  </w:t>
      </w:r>
    </w:p>
    <w:p w:rsidR="00011038" w:rsidRDefault="00011038" w:rsidP="00011038">
      <w:pPr>
        <w:rPr>
          <w:rFonts w:asciiTheme="minorHAnsi" w:hAnsiTheme="minorHAnsi"/>
          <w:sz w:val="22"/>
          <w:szCs w:val="22"/>
        </w:rPr>
      </w:pPr>
    </w:p>
    <w:p w:rsidR="006A7378" w:rsidRDefault="006A7378" w:rsidP="00011038">
      <w:pPr>
        <w:rPr>
          <w:rFonts w:asciiTheme="minorHAnsi" w:hAnsiTheme="minorHAnsi"/>
          <w:sz w:val="22"/>
          <w:szCs w:val="22"/>
        </w:rPr>
      </w:pPr>
      <w:r w:rsidRPr="006A7378">
        <w:rPr>
          <w:rFonts w:asciiTheme="minorHAnsi" w:hAnsiTheme="minorHAnsi"/>
          <w:sz w:val="22"/>
          <w:szCs w:val="22"/>
        </w:rPr>
        <w:t>The review did not address musculoskeletal conditions which may be influenced by standing or treadmill walking for extended periods of time. </w:t>
      </w:r>
    </w:p>
    <w:p w:rsidR="00011038" w:rsidRDefault="00011038" w:rsidP="00011038">
      <w:pPr>
        <w:rPr>
          <w:rFonts w:asciiTheme="minorHAnsi" w:hAnsiTheme="minorHAnsi"/>
          <w:sz w:val="22"/>
          <w:szCs w:val="22"/>
        </w:rPr>
      </w:pPr>
    </w:p>
    <w:p w:rsidR="00011038" w:rsidRDefault="00011038" w:rsidP="00011038">
      <w:pPr>
        <w:rPr>
          <w:rFonts w:asciiTheme="minorHAnsi" w:hAnsiTheme="minorHAnsi"/>
          <w:sz w:val="22"/>
          <w:szCs w:val="22"/>
        </w:rPr>
      </w:pPr>
      <w:r w:rsidRPr="00011038">
        <w:rPr>
          <w:rFonts w:asciiTheme="minorHAnsi" w:hAnsiTheme="minorHAnsi"/>
          <w:sz w:val="22"/>
          <w:szCs w:val="22"/>
        </w:rPr>
        <w:t>As with any computer related work, the desk cannot be considered in isolation, and other factors must be considered:</w:t>
      </w:r>
    </w:p>
    <w:p w:rsidR="00011038" w:rsidRDefault="00011038" w:rsidP="00011038">
      <w:pPr>
        <w:rPr>
          <w:rFonts w:asciiTheme="minorHAnsi" w:hAnsiTheme="minorHAnsi"/>
          <w:sz w:val="22"/>
          <w:szCs w:val="22"/>
        </w:rPr>
      </w:pPr>
    </w:p>
    <w:p w:rsidR="00011038" w:rsidRDefault="00011038" w:rsidP="00011038">
      <w:pPr>
        <w:pStyle w:val="ListParagraph"/>
        <w:numPr>
          <w:ilvl w:val="0"/>
          <w:numId w:val="2"/>
        </w:numPr>
        <w:rPr>
          <w:rFonts w:asciiTheme="minorHAnsi" w:hAnsiTheme="minorHAnsi"/>
          <w:sz w:val="22"/>
          <w:szCs w:val="22"/>
        </w:rPr>
      </w:pPr>
      <w:r>
        <w:rPr>
          <w:rFonts w:asciiTheme="minorHAnsi" w:hAnsiTheme="minorHAnsi"/>
          <w:sz w:val="22"/>
          <w:szCs w:val="22"/>
        </w:rPr>
        <w:t>Physical comfort</w:t>
      </w:r>
    </w:p>
    <w:p w:rsidR="00011038" w:rsidRDefault="00011038" w:rsidP="00011038">
      <w:pPr>
        <w:pStyle w:val="ListParagraph"/>
        <w:numPr>
          <w:ilvl w:val="0"/>
          <w:numId w:val="2"/>
        </w:numPr>
        <w:rPr>
          <w:rFonts w:asciiTheme="minorHAnsi" w:hAnsiTheme="minorHAnsi"/>
          <w:sz w:val="22"/>
          <w:szCs w:val="22"/>
        </w:rPr>
      </w:pPr>
      <w:r>
        <w:rPr>
          <w:rFonts w:asciiTheme="minorHAnsi" w:hAnsiTheme="minorHAnsi"/>
          <w:sz w:val="22"/>
          <w:szCs w:val="22"/>
        </w:rPr>
        <w:t>Visual comfort</w:t>
      </w:r>
    </w:p>
    <w:p w:rsidR="00011038" w:rsidRDefault="00011038" w:rsidP="00011038">
      <w:pPr>
        <w:pStyle w:val="ListParagraph"/>
        <w:numPr>
          <w:ilvl w:val="0"/>
          <w:numId w:val="2"/>
        </w:numPr>
        <w:rPr>
          <w:rFonts w:asciiTheme="minorHAnsi" w:hAnsiTheme="minorHAnsi"/>
          <w:sz w:val="22"/>
          <w:szCs w:val="22"/>
        </w:rPr>
      </w:pPr>
      <w:r>
        <w:rPr>
          <w:rFonts w:asciiTheme="minorHAnsi" w:hAnsiTheme="minorHAnsi"/>
          <w:sz w:val="22"/>
          <w:szCs w:val="22"/>
        </w:rPr>
        <w:t>Stress</w:t>
      </w:r>
    </w:p>
    <w:p w:rsidR="00011038" w:rsidRDefault="00011038" w:rsidP="00011038">
      <w:pPr>
        <w:pStyle w:val="ListParagraph"/>
        <w:numPr>
          <w:ilvl w:val="0"/>
          <w:numId w:val="2"/>
        </w:numPr>
        <w:rPr>
          <w:rFonts w:asciiTheme="minorHAnsi" w:hAnsiTheme="minorHAnsi"/>
          <w:sz w:val="22"/>
          <w:szCs w:val="22"/>
        </w:rPr>
      </w:pPr>
      <w:r>
        <w:rPr>
          <w:rFonts w:asciiTheme="minorHAnsi" w:hAnsiTheme="minorHAnsi"/>
          <w:sz w:val="22"/>
          <w:szCs w:val="22"/>
        </w:rPr>
        <w:t>Fatigue</w:t>
      </w:r>
    </w:p>
    <w:p w:rsidR="00011038" w:rsidRDefault="00011038" w:rsidP="00011038">
      <w:pPr>
        <w:pStyle w:val="ListParagraph"/>
        <w:numPr>
          <w:ilvl w:val="0"/>
          <w:numId w:val="2"/>
        </w:numPr>
        <w:rPr>
          <w:rFonts w:asciiTheme="minorHAnsi" w:hAnsiTheme="minorHAnsi"/>
          <w:sz w:val="22"/>
          <w:szCs w:val="22"/>
        </w:rPr>
      </w:pPr>
      <w:r>
        <w:rPr>
          <w:rFonts w:asciiTheme="minorHAnsi" w:hAnsiTheme="minorHAnsi"/>
          <w:sz w:val="22"/>
          <w:szCs w:val="22"/>
        </w:rPr>
        <w:t>Individual factors</w:t>
      </w:r>
    </w:p>
    <w:p w:rsidR="00011038" w:rsidRDefault="00011038" w:rsidP="00011038">
      <w:pPr>
        <w:pStyle w:val="ListParagraph"/>
        <w:numPr>
          <w:ilvl w:val="0"/>
          <w:numId w:val="2"/>
        </w:numPr>
        <w:rPr>
          <w:rFonts w:asciiTheme="minorHAnsi" w:hAnsiTheme="minorHAnsi"/>
          <w:sz w:val="22"/>
          <w:szCs w:val="22"/>
        </w:rPr>
      </w:pPr>
      <w:r>
        <w:rPr>
          <w:rFonts w:asciiTheme="minorHAnsi" w:hAnsiTheme="minorHAnsi"/>
          <w:sz w:val="22"/>
          <w:szCs w:val="22"/>
        </w:rPr>
        <w:t>Psychosocial factors</w:t>
      </w:r>
    </w:p>
    <w:p w:rsidR="00011038" w:rsidRDefault="00011038" w:rsidP="00011038">
      <w:pPr>
        <w:pStyle w:val="ListParagraph"/>
        <w:numPr>
          <w:ilvl w:val="0"/>
          <w:numId w:val="2"/>
        </w:numPr>
        <w:rPr>
          <w:rFonts w:asciiTheme="minorHAnsi" w:hAnsiTheme="minorHAnsi"/>
          <w:sz w:val="22"/>
          <w:szCs w:val="22"/>
        </w:rPr>
      </w:pPr>
      <w:r>
        <w:rPr>
          <w:rFonts w:asciiTheme="minorHAnsi" w:hAnsiTheme="minorHAnsi"/>
          <w:sz w:val="22"/>
          <w:szCs w:val="22"/>
        </w:rPr>
        <w:t>Work organisation</w:t>
      </w:r>
    </w:p>
    <w:p w:rsidR="00011038" w:rsidRDefault="00011038" w:rsidP="00011038">
      <w:pPr>
        <w:pStyle w:val="ListParagraph"/>
        <w:numPr>
          <w:ilvl w:val="0"/>
          <w:numId w:val="2"/>
        </w:numPr>
        <w:rPr>
          <w:rFonts w:asciiTheme="minorHAnsi" w:hAnsiTheme="minorHAnsi"/>
          <w:sz w:val="22"/>
          <w:szCs w:val="22"/>
        </w:rPr>
      </w:pPr>
      <w:r>
        <w:rPr>
          <w:rFonts w:asciiTheme="minorHAnsi" w:hAnsiTheme="minorHAnsi"/>
          <w:sz w:val="22"/>
          <w:szCs w:val="22"/>
        </w:rPr>
        <w:t>Work layout and awkward postures</w:t>
      </w:r>
    </w:p>
    <w:p w:rsidR="00011038" w:rsidRDefault="00011038" w:rsidP="00011038">
      <w:pPr>
        <w:pStyle w:val="ListParagraph"/>
        <w:numPr>
          <w:ilvl w:val="0"/>
          <w:numId w:val="2"/>
        </w:numPr>
        <w:rPr>
          <w:rFonts w:asciiTheme="minorHAnsi" w:hAnsiTheme="minorHAnsi"/>
          <w:sz w:val="22"/>
          <w:szCs w:val="22"/>
        </w:rPr>
      </w:pPr>
      <w:r>
        <w:rPr>
          <w:rFonts w:asciiTheme="minorHAnsi" w:hAnsiTheme="minorHAnsi"/>
          <w:sz w:val="22"/>
          <w:szCs w:val="22"/>
        </w:rPr>
        <w:t>Task invariability</w:t>
      </w:r>
    </w:p>
    <w:p w:rsidR="00011038" w:rsidRDefault="00011038" w:rsidP="00011038">
      <w:pPr>
        <w:pStyle w:val="ListParagraph"/>
        <w:numPr>
          <w:ilvl w:val="0"/>
          <w:numId w:val="2"/>
        </w:numPr>
        <w:rPr>
          <w:rFonts w:asciiTheme="minorHAnsi" w:hAnsiTheme="minorHAnsi"/>
          <w:sz w:val="22"/>
          <w:szCs w:val="22"/>
        </w:rPr>
      </w:pPr>
      <w:r>
        <w:rPr>
          <w:rFonts w:asciiTheme="minorHAnsi" w:hAnsiTheme="minorHAnsi"/>
          <w:sz w:val="22"/>
          <w:szCs w:val="22"/>
        </w:rPr>
        <w:t>Loads and forceful movements</w:t>
      </w:r>
    </w:p>
    <w:p w:rsidR="00011038" w:rsidRPr="00011038" w:rsidRDefault="00011038" w:rsidP="00011038">
      <w:pPr>
        <w:pStyle w:val="ListParagraph"/>
        <w:numPr>
          <w:ilvl w:val="0"/>
          <w:numId w:val="2"/>
        </w:numPr>
        <w:rPr>
          <w:rFonts w:asciiTheme="minorHAnsi" w:hAnsiTheme="minorHAnsi"/>
          <w:sz w:val="22"/>
          <w:szCs w:val="22"/>
        </w:rPr>
      </w:pPr>
      <w:r>
        <w:rPr>
          <w:rFonts w:asciiTheme="minorHAnsi" w:hAnsiTheme="minorHAnsi"/>
          <w:sz w:val="22"/>
          <w:szCs w:val="22"/>
        </w:rPr>
        <w:t>Environmental issues</w:t>
      </w:r>
      <w:r w:rsidRPr="00011038">
        <w:rPr>
          <w:rFonts w:asciiTheme="minorHAnsi" w:hAnsiTheme="minorHAnsi"/>
          <w:sz w:val="22"/>
          <w:szCs w:val="22"/>
        </w:rPr>
        <w:br/>
      </w:r>
    </w:p>
    <w:p w:rsidR="00011038" w:rsidRDefault="00011038" w:rsidP="00011038">
      <w:pPr>
        <w:rPr>
          <w:rFonts w:asciiTheme="minorHAnsi" w:hAnsiTheme="minorHAnsi"/>
          <w:sz w:val="22"/>
          <w:szCs w:val="22"/>
        </w:rPr>
      </w:pPr>
    </w:p>
    <w:p w:rsidR="00F162BB" w:rsidRDefault="00011038" w:rsidP="00F162BB">
      <w:pPr>
        <w:rPr>
          <w:rFonts w:asciiTheme="minorHAnsi" w:hAnsiTheme="minorHAnsi"/>
          <w:sz w:val="22"/>
          <w:szCs w:val="22"/>
        </w:rPr>
      </w:pPr>
      <w:r w:rsidRPr="00011038">
        <w:rPr>
          <w:rFonts w:asciiTheme="minorHAnsi" w:hAnsiTheme="minorHAnsi"/>
          <w:sz w:val="22"/>
          <w:szCs w:val="22"/>
        </w:rPr>
        <w:t>The ACC/DOL Guidelines for using computers November 2010 includes</w:t>
      </w:r>
      <w:r>
        <w:rPr>
          <w:rFonts w:asciiTheme="minorHAnsi" w:hAnsiTheme="minorHAnsi"/>
          <w:sz w:val="22"/>
          <w:szCs w:val="22"/>
        </w:rPr>
        <w:t xml:space="preserve"> a section on standing to work which is reproduced below. </w:t>
      </w:r>
    </w:p>
    <w:p w:rsidR="00011038" w:rsidRDefault="00011038" w:rsidP="00F162BB">
      <w:pPr>
        <w:rPr>
          <w:rFonts w:asciiTheme="minorHAnsi" w:hAnsiTheme="minorHAnsi"/>
          <w:sz w:val="22"/>
          <w:szCs w:val="22"/>
        </w:rPr>
      </w:pPr>
      <w:r>
        <w:rPr>
          <w:noProof/>
        </w:rPr>
        <w:lastRenderedPageBreak/>
        <w:drawing>
          <wp:inline distT="0" distB="0" distL="0" distR="0" wp14:anchorId="17858065" wp14:editId="0E4C6A26">
            <wp:extent cx="5731510" cy="63138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6313805"/>
                    </a:xfrm>
                    <a:prstGeom prst="rect">
                      <a:avLst/>
                    </a:prstGeom>
                  </pic:spPr>
                </pic:pic>
              </a:graphicData>
            </a:graphic>
          </wp:inline>
        </w:drawing>
      </w:r>
    </w:p>
    <w:p w:rsidR="00011038" w:rsidRDefault="00011038" w:rsidP="00011038">
      <w:pPr>
        <w:rPr>
          <w:rFonts w:asciiTheme="minorHAnsi" w:hAnsiTheme="minorHAnsi"/>
          <w:sz w:val="22"/>
          <w:szCs w:val="22"/>
        </w:rPr>
      </w:pPr>
    </w:p>
    <w:p w:rsidR="00011038" w:rsidRDefault="00011038" w:rsidP="00011038">
      <w:pPr>
        <w:rPr>
          <w:rFonts w:asciiTheme="minorHAnsi" w:hAnsiTheme="minorHAnsi"/>
          <w:sz w:val="22"/>
          <w:szCs w:val="22"/>
        </w:rPr>
      </w:pPr>
    </w:p>
    <w:p w:rsidR="00011038" w:rsidRDefault="00011038" w:rsidP="00011038">
      <w:pPr>
        <w:rPr>
          <w:rFonts w:asciiTheme="minorHAnsi" w:hAnsiTheme="minorHAnsi"/>
          <w:sz w:val="22"/>
          <w:szCs w:val="22"/>
        </w:rPr>
      </w:pPr>
      <w:r>
        <w:rPr>
          <w:noProof/>
        </w:rPr>
        <w:drawing>
          <wp:inline distT="0" distB="0" distL="0" distR="0" wp14:anchorId="50A0FF77" wp14:editId="5D0230D1">
            <wp:extent cx="3509139" cy="369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19902" cy="3707036"/>
                    </a:xfrm>
                    <a:prstGeom prst="rect">
                      <a:avLst/>
                    </a:prstGeom>
                  </pic:spPr>
                </pic:pic>
              </a:graphicData>
            </a:graphic>
          </wp:inline>
        </w:drawing>
      </w:r>
      <w:r>
        <w:rPr>
          <w:noProof/>
        </w:rPr>
        <w:drawing>
          <wp:inline distT="0" distB="0" distL="0" distR="0" wp14:anchorId="2A3C42D7" wp14:editId="2BC0F501">
            <wp:extent cx="2124004" cy="3246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1821" cy="3258067"/>
                    </a:xfrm>
                    <a:prstGeom prst="rect">
                      <a:avLst/>
                    </a:prstGeom>
                  </pic:spPr>
                </pic:pic>
              </a:graphicData>
            </a:graphic>
          </wp:inline>
        </w:drawing>
      </w:r>
    </w:p>
    <w:p w:rsidR="00011038" w:rsidRPr="006A7378" w:rsidRDefault="00011038" w:rsidP="00011038">
      <w:pPr>
        <w:rPr>
          <w:rFonts w:asciiTheme="minorHAnsi" w:eastAsia="Times New Roman" w:hAnsiTheme="minorHAnsi"/>
          <w:sz w:val="22"/>
          <w:szCs w:val="22"/>
        </w:rPr>
      </w:pPr>
    </w:p>
    <w:p w:rsidR="006A7378" w:rsidRPr="006A7378" w:rsidRDefault="006A7378" w:rsidP="006A7378">
      <w:pPr>
        <w:rPr>
          <w:rFonts w:asciiTheme="minorHAnsi" w:eastAsia="Times New Roman" w:hAnsiTheme="minorHAnsi" w:cs="Helvetica"/>
          <w:sz w:val="22"/>
          <w:szCs w:val="22"/>
        </w:rPr>
      </w:pPr>
      <w:r w:rsidRPr="006A7378">
        <w:rPr>
          <w:rFonts w:asciiTheme="minorHAnsi" w:eastAsia="Times New Roman" w:hAnsiTheme="minorHAnsi" w:cs="Helvetica"/>
          <w:sz w:val="22"/>
          <w:szCs w:val="22"/>
        </w:rPr>
        <w:t>For those wishing to have a standing desk it is suggested that a temporary stand</w:t>
      </w:r>
      <w:r>
        <w:rPr>
          <w:rFonts w:asciiTheme="minorHAnsi" w:eastAsia="Times New Roman" w:hAnsiTheme="minorHAnsi" w:cs="Helvetica"/>
          <w:sz w:val="22"/>
          <w:szCs w:val="22"/>
        </w:rPr>
        <w:t>ing option</w:t>
      </w:r>
      <w:r w:rsidRPr="006A7378">
        <w:rPr>
          <w:rFonts w:asciiTheme="minorHAnsi" w:eastAsia="Times New Roman" w:hAnsiTheme="minorHAnsi" w:cs="Helvetica"/>
          <w:sz w:val="22"/>
          <w:szCs w:val="22"/>
        </w:rPr>
        <w:t xml:space="preserve"> should be tried first. Such stands are avail</w:t>
      </w:r>
      <w:r>
        <w:rPr>
          <w:rFonts w:asciiTheme="minorHAnsi" w:eastAsia="Times New Roman" w:hAnsiTheme="minorHAnsi" w:cs="Helvetica"/>
          <w:sz w:val="22"/>
          <w:szCs w:val="22"/>
        </w:rPr>
        <w:t>able commercially for about $30 or contact</w:t>
      </w:r>
      <w:r w:rsidR="00011038">
        <w:rPr>
          <w:rFonts w:asciiTheme="minorHAnsi" w:eastAsia="Times New Roman" w:hAnsiTheme="minorHAnsi" w:cs="Helvetica"/>
          <w:sz w:val="22"/>
          <w:szCs w:val="22"/>
        </w:rPr>
        <w:t xml:space="preserve"> H&amp;S </w:t>
      </w:r>
      <w:r>
        <w:rPr>
          <w:rFonts w:asciiTheme="minorHAnsi" w:eastAsia="Times New Roman" w:hAnsiTheme="minorHAnsi" w:cs="Helvetica"/>
          <w:sz w:val="22"/>
          <w:szCs w:val="22"/>
        </w:rPr>
        <w:t>who have one available for trial periods.</w:t>
      </w:r>
    </w:p>
    <w:p w:rsidR="006A7378" w:rsidRPr="006A7378" w:rsidRDefault="006A7378" w:rsidP="006A7378">
      <w:pPr>
        <w:rPr>
          <w:rFonts w:asciiTheme="minorHAnsi" w:eastAsia="Times New Roman" w:hAnsiTheme="minorHAnsi" w:cs="Helvetica"/>
          <w:sz w:val="22"/>
          <w:szCs w:val="22"/>
        </w:rPr>
      </w:pPr>
    </w:p>
    <w:p w:rsidR="006A7378" w:rsidRPr="006A7378" w:rsidRDefault="006A7378" w:rsidP="006A7378">
      <w:pPr>
        <w:rPr>
          <w:rFonts w:asciiTheme="minorHAnsi" w:eastAsia="Times New Roman" w:hAnsiTheme="minorHAnsi" w:cs="Helvetica"/>
          <w:sz w:val="22"/>
          <w:szCs w:val="22"/>
        </w:rPr>
      </w:pPr>
      <w:r>
        <w:rPr>
          <w:rFonts w:asciiTheme="minorHAnsi" w:eastAsia="Times New Roman" w:hAnsiTheme="minorHAnsi" w:cs="Helvetica"/>
          <w:sz w:val="22"/>
          <w:szCs w:val="22"/>
        </w:rPr>
        <w:t>T</w:t>
      </w:r>
      <w:r w:rsidRPr="006A7378">
        <w:rPr>
          <w:rFonts w:asciiTheme="minorHAnsi" w:eastAsia="Times New Roman" w:hAnsiTheme="minorHAnsi" w:cs="Helvetica"/>
          <w:sz w:val="22"/>
          <w:szCs w:val="22"/>
        </w:rPr>
        <w:t>he price of standing desks varies a lot.  A desk that has the option to be either standing or sitting is recommended as it means that the user can alter the height easily at any time. A power operated desk enables the change to be made at the push of a button.</w:t>
      </w:r>
      <w:r>
        <w:rPr>
          <w:rFonts w:asciiTheme="minorHAnsi" w:eastAsia="Times New Roman" w:hAnsiTheme="minorHAnsi" w:cs="Helvetica"/>
          <w:sz w:val="22"/>
          <w:szCs w:val="22"/>
        </w:rPr>
        <w:t xml:space="preserve">  In all situations, the option of sitting for some time should be provided.  </w:t>
      </w:r>
    </w:p>
    <w:p w:rsidR="006A7378" w:rsidRPr="006A7378" w:rsidRDefault="006A7378" w:rsidP="006A7378">
      <w:pPr>
        <w:rPr>
          <w:rFonts w:asciiTheme="minorHAnsi" w:eastAsia="Times New Roman" w:hAnsiTheme="minorHAnsi" w:cs="Helvetica"/>
          <w:sz w:val="22"/>
          <w:szCs w:val="22"/>
        </w:rPr>
      </w:pPr>
    </w:p>
    <w:p w:rsidR="006A7378" w:rsidRDefault="006A7378" w:rsidP="006A7378">
      <w:pPr>
        <w:rPr>
          <w:rFonts w:asciiTheme="minorHAnsi" w:eastAsia="Times New Roman" w:hAnsiTheme="minorHAnsi" w:cs="Helvetica"/>
          <w:sz w:val="22"/>
          <w:szCs w:val="22"/>
        </w:rPr>
      </w:pPr>
      <w:r w:rsidRPr="006A7378">
        <w:rPr>
          <w:rFonts w:asciiTheme="minorHAnsi" w:eastAsia="Times New Roman" w:hAnsiTheme="minorHAnsi" w:cs="Helvetica"/>
          <w:sz w:val="22"/>
          <w:szCs w:val="22"/>
        </w:rPr>
        <w:t>The University's Occupational Health Unit does not provide letters of support for people wishing to have one of these and does not fund them</w:t>
      </w:r>
      <w:r w:rsidR="00011038">
        <w:rPr>
          <w:rFonts w:asciiTheme="minorHAnsi" w:eastAsia="Times New Roman" w:hAnsiTheme="minorHAnsi" w:cs="Helvetica"/>
          <w:sz w:val="22"/>
          <w:szCs w:val="22"/>
        </w:rPr>
        <w:t xml:space="preserve"> as they are</w:t>
      </w:r>
      <w:r w:rsidRPr="006A7378">
        <w:rPr>
          <w:rFonts w:asciiTheme="minorHAnsi" w:eastAsia="Times New Roman" w:hAnsiTheme="minorHAnsi" w:cs="Helvetica"/>
          <w:sz w:val="22"/>
          <w:szCs w:val="22"/>
        </w:rPr>
        <w:t xml:space="preserve"> a departmental cost.</w:t>
      </w:r>
    </w:p>
    <w:p w:rsidR="00011038" w:rsidRDefault="00011038" w:rsidP="006A7378">
      <w:pPr>
        <w:rPr>
          <w:rFonts w:asciiTheme="minorHAnsi" w:eastAsia="Times New Roman" w:hAnsiTheme="minorHAnsi" w:cs="Helvetica"/>
          <w:sz w:val="22"/>
          <w:szCs w:val="22"/>
        </w:rPr>
      </w:pPr>
    </w:p>
    <w:p w:rsidR="00011038" w:rsidRDefault="00011038" w:rsidP="006A7378">
      <w:pPr>
        <w:rPr>
          <w:rFonts w:asciiTheme="minorHAnsi" w:eastAsia="Times New Roman" w:hAnsiTheme="minorHAnsi" w:cs="Helvetica"/>
          <w:sz w:val="22"/>
          <w:szCs w:val="22"/>
        </w:rPr>
      </w:pPr>
      <w:r>
        <w:rPr>
          <w:noProof/>
        </w:rPr>
        <w:drawing>
          <wp:inline distT="0" distB="0" distL="0" distR="0" wp14:anchorId="57B2A9B3" wp14:editId="7C251F33">
            <wp:extent cx="5731510" cy="40316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031615"/>
                    </a:xfrm>
                    <a:prstGeom prst="rect">
                      <a:avLst/>
                    </a:prstGeom>
                  </pic:spPr>
                </pic:pic>
              </a:graphicData>
            </a:graphic>
          </wp:inline>
        </w:drawing>
      </w:r>
    </w:p>
    <w:p w:rsidR="00F400B0" w:rsidRDefault="00F400B0" w:rsidP="006A7378">
      <w:pPr>
        <w:rPr>
          <w:rFonts w:asciiTheme="minorHAnsi" w:eastAsia="Times New Roman" w:hAnsiTheme="minorHAnsi" w:cs="Helvetica"/>
          <w:sz w:val="22"/>
          <w:szCs w:val="22"/>
        </w:rPr>
      </w:pPr>
    </w:p>
    <w:p w:rsidR="00F400B0" w:rsidRDefault="00F400B0" w:rsidP="006A7378">
      <w:pPr>
        <w:rPr>
          <w:rFonts w:asciiTheme="minorHAnsi" w:eastAsia="Times New Roman" w:hAnsiTheme="minorHAnsi" w:cs="Helvetica"/>
          <w:sz w:val="22"/>
          <w:szCs w:val="22"/>
        </w:rPr>
      </w:pPr>
      <w:r>
        <w:rPr>
          <w:rFonts w:asciiTheme="minorHAnsi" w:eastAsia="Times New Roman" w:hAnsiTheme="minorHAnsi" w:cs="Helvetica"/>
          <w:sz w:val="22"/>
          <w:szCs w:val="22"/>
        </w:rPr>
        <w:t xml:space="preserve">For further information and assistance, please contact the Occupational Health team.  </w:t>
      </w:r>
    </w:p>
    <w:p w:rsidR="00F400B0" w:rsidRDefault="00F400B0" w:rsidP="006A7378">
      <w:pPr>
        <w:rPr>
          <w:rFonts w:asciiTheme="minorHAnsi" w:eastAsia="Times New Roman" w:hAnsiTheme="minorHAnsi" w:cs="Helvetica"/>
          <w:sz w:val="22"/>
          <w:szCs w:val="22"/>
        </w:rPr>
      </w:pPr>
    </w:p>
    <w:p w:rsidR="00011038" w:rsidRDefault="00011038" w:rsidP="006A7378">
      <w:pPr>
        <w:rPr>
          <w:rFonts w:asciiTheme="minorHAnsi" w:eastAsia="Times New Roman" w:hAnsiTheme="minorHAnsi" w:cs="Helvetica"/>
          <w:sz w:val="18"/>
          <w:szCs w:val="18"/>
        </w:rPr>
      </w:pPr>
    </w:p>
    <w:p w:rsidR="00011038" w:rsidRDefault="00011038" w:rsidP="006A7378">
      <w:pPr>
        <w:rPr>
          <w:rFonts w:asciiTheme="minorHAnsi" w:eastAsia="Times New Roman" w:hAnsiTheme="minorHAnsi" w:cs="Helvetica"/>
          <w:sz w:val="18"/>
          <w:szCs w:val="18"/>
        </w:rPr>
      </w:pPr>
    </w:p>
    <w:p w:rsidR="00F400B0" w:rsidRPr="00F400B0" w:rsidRDefault="00F162BB" w:rsidP="006A7378">
      <w:pPr>
        <w:rPr>
          <w:rFonts w:asciiTheme="minorHAnsi" w:eastAsia="Times New Roman" w:hAnsiTheme="minorHAnsi" w:cs="Helvetica"/>
          <w:sz w:val="18"/>
          <w:szCs w:val="18"/>
        </w:rPr>
      </w:pPr>
      <w:r>
        <w:rPr>
          <w:rFonts w:asciiTheme="minorHAnsi" w:eastAsia="Times New Roman" w:hAnsiTheme="minorHAnsi" w:cs="Helvetica"/>
          <w:sz w:val="18"/>
          <w:szCs w:val="18"/>
        </w:rPr>
        <w:t>December 2017</w:t>
      </w:r>
      <w:r w:rsidR="00F400B0" w:rsidRPr="00F400B0">
        <w:rPr>
          <w:rFonts w:asciiTheme="minorHAnsi" w:eastAsia="Times New Roman" w:hAnsiTheme="minorHAnsi" w:cs="Helvetica"/>
          <w:sz w:val="18"/>
          <w:szCs w:val="18"/>
        </w:rPr>
        <w:t xml:space="preserve"> Occupational Health Team.</w:t>
      </w:r>
    </w:p>
    <w:p w:rsidR="006A7378" w:rsidRPr="006A7378" w:rsidRDefault="006A7378" w:rsidP="006A7378">
      <w:pPr>
        <w:rPr>
          <w:rFonts w:asciiTheme="minorHAnsi" w:eastAsia="Times New Roman" w:hAnsiTheme="minorHAnsi" w:cs="Helvetica"/>
          <w:sz w:val="22"/>
          <w:szCs w:val="22"/>
        </w:rPr>
      </w:pPr>
    </w:p>
    <w:p w:rsidR="00EF1BD0" w:rsidRPr="006A7378" w:rsidRDefault="00EF1BD0">
      <w:pPr>
        <w:rPr>
          <w:rFonts w:asciiTheme="minorHAnsi" w:hAnsiTheme="minorHAnsi"/>
          <w:sz w:val="22"/>
          <w:szCs w:val="22"/>
        </w:rPr>
      </w:pPr>
    </w:p>
    <w:sectPr w:rsidR="00EF1BD0" w:rsidRPr="006A7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D3C"/>
    <w:multiLevelType w:val="hybridMultilevel"/>
    <w:tmpl w:val="309E8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8963DB"/>
    <w:multiLevelType w:val="hybridMultilevel"/>
    <w:tmpl w:val="07549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78"/>
    <w:rsid w:val="00011038"/>
    <w:rsid w:val="00546BEE"/>
    <w:rsid w:val="006A7378"/>
    <w:rsid w:val="00EF1BD0"/>
    <w:rsid w:val="00F162BB"/>
    <w:rsid w:val="00F400B0"/>
    <w:rsid w:val="00F56E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39AB2-ADDE-4C42-841F-C22E94C0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378"/>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McMillan</dc:creator>
  <cp:keywords/>
  <dc:description/>
  <cp:lastModifiedBy>Karen Bonney</cp:lastModifiedBy>
  <cp:revision>2</cp:revision>
  <dcterms:created xsi:type="dcterms:W3CDTF">2018-07-04T01:37:00Z</dcterms:created>
  <dcterms:modified xsi:type="dcterms:W3CDTF">2018-07-04T01:37:00Z</dcterms:modified>
</cp:coreProperties>
</file>