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5E" w:rsidRPr="00431CAC" w:rsidRDefault="00FD2A75" w:rsidP="00FD2A75">
      <w:pPr>
        <w:jc w:val="center"/>
        <w:rPr>
          <w:b/>
        </w:rPr>
      </w:pPr>
      <w:r w:rsidRPr="00431CAC">
        <w:rPr>
          <w:b/>
        </w:rPr>
        <w:t>Worker H&amp;S Participation Framework update May 2019</w:t>
      </w:r>
    </w:p>
    <w:p w:rsidR="00FD2A75" w:rsidRDefault="00FD2A75">
      <w:r>
        <w:t xml:space="preserve">The Worker Participation Framework (the </w:t>
      </w:r>
      <w:r w:rsidR="00431CAC">
        <w:t>‘</w:t>
      </w:r>
      <w:r>
        <w:t>framework</w:t>
      </w:r>
      <w:r w:rsidR="00431CAC">
        <w:t>’</w:t>
      </w:r>
      <w:r>
        <w:t xml:space="preserve">) authorised by the VC in 2017 has been revised.  Previously, the role of Departmental H&amp;S Officer (DHSO) </w:t>
      </w:r>
      <w:r w:rsidR="00431CAC">
        <w:t>with</w:t>
      </w:r>
      <w:r>
        <w:t xml:space="preserve">in each department was </w:t>
      </w:r>
      <w:r w:rsidR="00431CAC">
        <w:t xml:space="preserve">included in </w:t>
      </w:r>
      <w:r>
        <w:t>a</w:t>
      </w:r>
      <w:r w:rsidR="00431CAC">
        <w:t>n</w:t>
      </w:r>
      <w:r>
        <w:t xml:space="preserve"> administrat</w:t>
      </w:r>
      <w:r w:rsidR="00431CAC">
        <w:t>or</w:t>
      </w:r>
      <w:r>
        <w:t xml:space="preserve"> or technical position. With the Shared Services model implementation, administrators </w:t>
      </w:r>
      <w:r w:rsidR="00431CAC">
        <w:t>generally do</w:t>
      </w:r>
      <w:r>
        <w:t xml:space="preserve"> not report to the department they are working in.</w:t>
      </w:r>
      <w:r w:rsidR="00431CAC">
        <w:t xml:space="preserve">  </w:t>
      </w:r>
      <w:r>
        <w:t>To address the</w:t>
      </w:r>
      <w:r w:rsidR="00431CAC">
        <w:t xml:space="preserve">se </w:t>
      </w:r>
      <w:r>
        <w:t>changes, University departments or work areas have been classified as h</w:t>
      </w:r>
      <w:r w:rsidR="00431CAC">
        <w:t>igh risk or low risk: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A75" w:rsidTr="00FD2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A75" w:rsidRDefault="00FD2A75">
            <w:r>
              <w:t>Low risk</w:t>
            </w:r>
          </w:p>
        </w:tc>
        <w:tc>
          <w:tcPr>
            <w:tcW w:w="4508" w:type="dxa"/>
          </w:tcPr>
          <w:p w:rsidR="00FD2A75" w:rsidRDefault="00FD2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High risk</w:t>
            </w:r>
          </w:p>
        </w:tc>
      </w:tr>
      <w:tr w:rsidR="00FD2A75" w:rsidTr="00F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A75" w:rsidRPr="00FD2A75" w:rsidRDefault="00FD2A75">
            <w:pPr>
              <w:rPr>
                <w:b w:val="0"/>
              </w:rPr>
            </w:pPr>
            <w:r w:rsidRPr="00FD2A75">
              <w:rPr>
                <w:b w:val="0"/>
              </w:rPr>
              <w:t>Office based work</w:t>
            </w:r>
          </w:p>
        </w:tc>
        <w:tc>
          <w:tcPr>
            <w:tcW w:w="4508" w:type="dxa"/>
          </w:tcPr>
          <w:p w:rsidR="00FD2A75" w:rsidRDefault="00FD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Fieldwork</w:t>
            </w:r>
          </w:p>
        </w:tc>
      </w:tr>
      <w:tr w:rsidR="00FD2A75" w:rsidTr="00F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A75" w:rsidRPr="00FD2A75" w:rsidRDefault="00FD2A75">
            <w:pPr>
              <w:rPr>
                <w:b w:val="0"/>
              </w:rPr>
            </w:pPr>
            <w:r w:rsidRPr="00FD2A75">
              <w:rPr>
                <w:b w:val="0"/>
              </w:rPr>
              <w:t>Teaching/lecture theatres</w:t>
            </w:r>
          </w:p>
        </w:tc>
        <w:tc>
          <w:tcPr>
            <w:tcW w:w="4508" w:type="dxa"/>
          </w:tcPr>
          <w:p w:rsidR="00FD2A75" w:rsidRDefault="00FD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 and building maintenance</w:t>
            </w:r>
          </w:p>
        </w:tc>
      </w:tr>
      <w:tr w:rsidR="00FD2A75" w:rsidTr="00F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A75" w:rsidRPr="00FD2A75" w:rsidRDefault="00FD2A75">
            <w:pPr>
              <w:rPr>
                <w:b w:val="0"/>
              </w:rPr>
            </w:pPr>
            <w:r w:rsidRPr="00FD2A75">
              <w:rPr>
                <w:b w:val="0"/>
              </w:rPr>
              <w:t>Publically accessed buildings</w:t>
            </w:r>
          </w:p>
        </w:tc>
        <w:tc>
          <w:tcPr>
            <w:tcW w:w="4508" w:type="dxa"/>
          </w:tcPr>
          <w:p w:rsidR="00FD2A75" w:rsidRDefault="00FD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Commercial kitchens</w:t>
            </w:r>
          </w:p>
        </w:tc>
      </w:tr>
      <w:tr w:rsidR="00FD2A75" w:rsidTr="00F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A75" w:rsidRDefault="00FD2A75"/>
        </w:tc>
        <w:tc>
          <w:tcPr>
            <w:tcW w:w="4508" w:type="dxa"/>
          </w:tcPr>
          <w:p w:rsidR="00FD2A75" w:rsidRDefault="00FD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Laboratories (excluding computer laboratories)</w:t>
            </w:r>
          </w:p>
        </w:tc>
      </w:tr>
      <w:tr w:rsidR="00FD2A75" w:rsidTr="00F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A75" w:rsidRDefault="00FD2A75"/>
        </w:tc>
        <w:tc>
          <w:tcPr>
            <w:tcW w:w="4508" w:type="dxa"/>
          </w:tcPr>
          <w:p w:rsidR="00FD2A75" w:rsidRDefault="00431CAC" w:rsidP="0043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Clinical, biological and animal work</w:t>
            </w:r>
          </w:p>
        </w:tc>
      </w:tr>
      <w:tr w:rsidR="00FD2A75" w:rsidTr="00F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A75" w:rsidRDefault="00FD2A75"/>
        </w:tc>
        <w:tc>
          <w:tcPr>
            <w:tcW w:w="4508" w:type="dxa"/>
          </w:tcPr>
          <w:p w:rsidR="00FD2A75" w:rsidRDefault="00FD2A75" w:rsidP="00FD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Lasers (class</w:t>
            </w:r>
            <w:r w:rsidR="00110F7C">
              <w:t xml:space="preserve"> 3R and 4)</w:t>
            </w:r>
          </w:p>
        </w:tc>
      </w:tr>
      <w:tr w:rsidR="00FD2A75" w:rsidTr="00F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A75" w:rsidRDefault="00FD2A75"/>
        </w:tc>
        <w:tc>
          <w:tcPr>
            <w:tcW w:w="4508" w:type="dxa"/>
          </w:tcPr>
          <w:p w:rsidR="00FD2A75" w:rsidRDefault="00FD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Significant plant and equipment</w:t>
            </w:r>
          </w:p>
        </w:tc>
      </w:tr>
      <w:tr w:rsidR="00FD2A75" w:rsidTr="00FD2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A75" w:rsidRDefault="00FD2A75"/>
        </w:tc>
        <w:tc>
          <w:tcPr>
            <w:tcW w:w="4508" w:type="dxa"/>
          </w:tcPr>
          <w:p w:rsidR="00FD2A75" w:rsidRDefault="00FD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Accommodation</w:t>
            </w:r>
          </w:p>
        </w:tc>
      </w:tr>
      <w:tr w:rsidR="00FD2A75" w:rsidTr="00FD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A75" w:rsidRDefault="00FD2A75"/>
        </w:tc>
        <w:tc>
          <w:tcPr>
            <w:tcW w:w="4508" w:type="dxa"/>
          </w:tcPr>
          <w:p w:rsidR="00FD2A75" w:rsidRDefault="00FD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Shift and call out work, standard afterhours operations</w:t>
            </w:r>
          </w:p>
        </w:tc>
      </w:tr>
    </w:tbl>
    <w:p w:rsidR="00431CAC" w:rsidRPr="00431CAC" w:rsidRDefault="00FD2A75" w:rsidP="00FD2A75">
      <w:pPr>
        <w:rPr>
          <w:b/>
          <w:u w:val="single"/>
        </w:rPr>
      </w:pPr>
      <w:r w:rsidRPr="00431CAC">
        <w:rPr>
          <w:b/>
          <w:u w:val="single"/>
        </w:rPr>
        <w:t>Departmental H&amp;S Administrators (DHSA)</w:t>
      </w:r>
    </w:p>
    <w:p w:rsidR="00FD2A75" w:rsidRPr="00431CAC" w:rsidRDefault="00FD2A75" w:rsidP="00106C68">
      <w:pPr>
        <w:spacing w:after="0"/>
        <w:rPr>
          <w:b/>
        </w:rPr>
      </w:pPr>
      <w:r>
        <w:t xml:space="preserve">For </w:t>
      </w:r>
      <w:r w:rsidRPr="00125446">
        <w:rPr>
          <w:b/>
          <w:i/>
        </w:rPr>
        <w:t>low risk work areas</w:t>
      </w:r>
      <w:r>
        <w:t>, the H&amp;S hazards and risks are more generic in nature and covered by standard building and operating procedures and requirements.   A DHSA will provide H&amp;S administration support</w:t>
      </w:r>
      <w:r w:rsidR="00431CAC">
        <w:t xml:space="preserve">, usually from </w:t>
      </w:r>
      <w:r>
        <w:t>the Shared Services division.  Depending on location, a DHSA may provide cover for a number of departments, or by building</w:t>
      </w:r>
      <w:r w:rsidR="00431CAC">
        <w:t xml:space="preserve"> and/or</w:t>
      </w:r>
      <w:r>
        <w:t xml:space="preserve"> geographical coverage. The tasks of the DHSA are to:</w:t>
      </w:r>
    </w:p>
    <w:p w:rsidR="00FD2A75" w:rsidRDefault="00FD2A75" w:rsidP="00FD2A75">
      <w:pPr>
        <w:pStyle w:val="ListParagraph"/>
        <w:numPr>
          <w:ilvl w:val="0"/>
          <w:numId w:val="1"/>
        </w:numPr>
      </w:pPr>
      <w:r>
        <w:t>Maintain Vault administration for risk/hazard register and incidents</w:t>
      </w:r>
    </w:p>
    <w:p w:rsidR="00AB33C8" w:rsidRDefault="00AB33C8" w:rsidP="00AB33C8">
      <w:pPr>
        <w:pStyle w:val="ListParagraph"/>
        <w:numPr>
          <w:ilvl w:val="0"/>
          <w:numId w:val="1"/>
        </w:numPr>
      </w:pPr>
      <w:r>
        <w:t>Scheduling, at least annually, a review of risks/hazards with the Department</w:t>
      </w:r>
    </w:p>
    <w:p w:rsidR="00431CAC" w:rsidRDefault="00FD2A75" w:rsidP="000B43E9">
      <w:pPr>
        <w:pStyle w:val="ListParagraph"/>
        <w:numPr>
          <w:ilvl w:val="0"/>
          <w:numId w:val="1"/>
        </w:numPr>
      </w:pPr>
      <w:r>
        <w:t xml:space="preserve">Provide H&amp;S induction for new staff </w:t>
      </w:r>
    </w:p>
    <w:p w:rsidR="00FD2A75" w:rsidRDefault="00FD2A75" w:rsidP="000B43E9">
      <w:pPr>
        <w:pStyle w:val="ListParagraph"/>
        <w:numPr>
          <w:ilvl w:val="0"/>
          <w:numId w:val="1"/>
        </w:numPr>
      </w:pPr>
      <w:r>
        <w:t>Provide Vault reports to HOD/Manager as required and at least annually</w:t>
      </w:r>
    </w:p>
    <w:p w:rsidR="00431CAC" w:rsidRDefault="00FD2A75" w:rsidP="00431CAC">
      <w:pPr>
        <w:pStyle w:val="ListParagraph"/>
        <w:numPr>
          <w:ilvl w:val="0"/>
          <w:numId w:val="1"/>
        </w:numPr>
      </w:pPr>
      <w:r>
        <w:t>Document</w:t>
      </w:r>
      <w:r w:rsidR="00337F18">
        <w:t xml:space="preserve"> (within</w:t>
      </w:r>
      <w:r w:rsidR="00833F76">
        <w:t xml:space="preserve"> </w:t>
      </w:r>
      <w:r w:rsidR="00337F18">
        <w:t>Vault)</w:t>
      </w:r>
      <w:r>
        <w:t xml:space="preserve"> </w:t>
      </w:r>
      <w:r w:rsidR="00AB33C8">
        <w:t>the Emergency Building Warden,</w:t>
      </w:r>
      <w:r>
        <w:t xml:space="preserve"> Fire Wardens and First Aiders</w:t>
      </w:r>
      <w:r w:rsidR="00AB33C8">
        <w:t xml:space="preserve"> and raise any gaps with the Department lead</w:t>
      </w:r>
      <w:r>
        <w:t>.</w:t>
      </w:r>
    </w:p>
    <w:p w:rsidR="00431CAC" w:rsidRPr="00431CAC" w:rsidRDefault="00431CAC" w:rsidP="00431CAC">
      <w:pPr>
        <w:rPr>
          <w:b/>
        </w:rPr>
      </w:pPr>
      <w:r w:rsidRPr="00431CAC">
        <w:rPr>
          <w:b/>
        </w:rPr>
        <w:t>DHSA’s are responsible for the H&amp;S administration tasks only, not for the H&amp;S of the department – that remains the responsibility of the Line Managers.</w:t>
      </w:r>
    </w:p>
    <w:p w:rsidR="00431CAC" w:rsidRPr="00431CAC" w:rsidRDefault="00431CAC" w:rsidP="00431CAC">
      <w:pPr>
        <w:rPr>
          <w:b/>
          <w:u w:val="single"/>
        </w:rPr>
      </w:pPr>
      <w:r w:rsidRPr="00431CAC">
        <w:rPr>
          <w:b/>
          <w:u w:val="single"/>
        </w:rPr>
        <w:t>Departmental H&amp;S Officers (DHSO)</w:t>
      </w:r>
    </w:p>
    <w:p w:rsidR="00431CAC" w:rsidRDefault="00431CAC" w:rsidP="00431CAC">
      <w:r w:rsidRPr="00431CAC">
        <w:rPr>
          <w:b/>
          <w:i/>
        </w:rPr>
        <w:t>High risk areas</w:t>
      </w:r>
      <w:r>
        <w:t xml:space="preserve"> must have</w:t>
      </w:r>
      <w:r w:rsidRPr="00434A9F">
        <w:rPr>
          <w:b/>
        </w:rPr>
        <w:t xml:space="preserve"> </w:t>
      </w:r>
      <w:r w:rsidRPr="00431CAC">
        <w:t xml:space="preserve">a </w:t>
      </w:r>
      <w:r w:rsidR="00337F18">
        <w:t>designated</w:t>
      </w:r>
      <w:r w:rsidRPr="00431CAC">
        <w:t xml:space="preserve"> DHSO</w:t>
      </w:r>
      <w:r>
        <w:t xml:space="preserve"> with specific knowledge of the hazards and risks associated with the department, employed by the department/division.  This role remains functionally unchanged.</w:t>
      </w:r>
    </w:p>
    <w:p w:rsidR="00431CAC" w:rsidRDefault="00431CAC" w:rsidP="00431CAC">
      <w:pPr>
        <w:rPr>
          <w:b/>
        </w:rPr>
      </w:pPr>
      <w:r w:rsidRPr="00125446">
        <w:rPr>
          <w:b/>
        </w:rPr>
        <w:t>While DHSO’s assist with the implementation of H&amp;S policies and procedures, and are delegated tasks, the ultimate H&amp;S responsibility resided with the Line Manager.</w:t>
      </w:r>
    </w:p>
    <w:p w:rsidR="00431CAC" w:rsidRDefault="00431CAC" w:rsidP="00431CAC">
      <w:pPr>
        <w:rPr>
          <w:b/>
          <w:u w:val="single"/>
        </w:rPr>
      </w:pPr>
      <w:r w:rsidRPr="00431CAC">
        <w:rPr>
          <w:b/>
          <w:u w:val="single"/>
        </w:rPr>
        <w:t>Elected H&amp;S Representatives</w:t>
      </w:r>
    </w:p>
    <w:p w:rsidR="004279C8" w:rsidRPr="00431CAC" w:rsidRDefault="00431CAC" w:rsidP="00431CAC">
      <w:r>
        <w:t xml:space="preserve">The agreed system includes the election of H&amp;S representatives, in addition to DHSO/DHSA roles. Elected H&amp;S Reps provide another channel of H&amp;S communication for staff and work in collaboration with DHSA/DHSOs.  The number of H&amp;S Reps and </w:t>
      </w:r>
      <w:r w:rsidR="00106C68">
        <w:t>representative</w:t>
      </w:r>
      <w:r>
        <w:t xml:space="preserve"> work area</w:t>
      </w:r>
      <w:r w:rsidR="00106C68">
        <w:t>, low and high risk classifications and further details on the revised framework</w:t>
      </w:r>
      <w:r>
        <w:t xml:space="preserve"> can be found at:</w:t>
      </w:r>
      <w:r w:rsidR="00106C68">
        <w:t xml:space="preserve">  </w:t>
      </w:r>
      <w:hyperlink r:id="rId5" w:history="1">
        <w:r w:rsidR="004279C8" w:rsidRPr="008127BF">
          <w:rPr>
            <w:rStyle w:val="Hyperlink"/>
          </w:rPr>
          <w:t>https://www.otago.ac.nz/health-safety/management/index.html</w:t>
        </w:r>
      </w:hyperlink>
      <w:bookmarkStart w:id="0" w:name="_GoBack"/>
      <w:bookmarkEnd w:id="0"/>
    </w:p>
    <w:sectPr w:rsidR="004279C8" w:rsidRPr="00431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142F3"/>
    <w:multiLevelType w:val="hybridMultilevel"/>
    <w:tmpl w:val="40569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5"/>
    <w:rsid w:val="00106C68"/>
    <w:rsid w:val="00110F7C"/>
    <w:rsid w:val="00337F18"/>
    <w:rsid w:val="004279C8"/>
    <w:rsid w:val="00431CAC"/>
    <w:rsid w:val="00833F76"/>
    <w:rsid w:val="00AB33C8"/>
    <w:rsid w:val="00E5025E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2043"/>
  <w15:chartTrackingRefBased/>
  <w15:docId w15:val="{8B5025BD-28D4-4A5C-A186-C8327D09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D2A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D2A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tago.ac.nz/health-safety/managemen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McMillan</dc:creator>
  <cp:keywords/>
  <dc:description/>
  <cp:lastModifiedBy>Nevan Trotter</cp:lastModifiedBy>
  <cp:revision>5</cp:revision>
  <dcterms:created xsi:type="dcterms:W3CDTF">2019-05-08T20:31:00Z</dcterms:created>
  <dcterms:modified xsi:type="dcterms:W3CDTF">2019-05-13T04:21:00Z</dcterms:modified>
</cp:coreProperties>
</file>