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C442" w14:textId="71198511" w:rsidR="009A703B" w:rsidRPr="007F4BFC" w:rsidRDefault="00405065" w:rsidP="008B0B27">
      <w:pPr>
        <w:jc w:val="center"/>
        <w:rPr>
          <w:rFonts w:cstheme="minorHAnsi"/>
          <w:b/>
        </w:rPr>
      </w:pPr>
      <w:bookmarkStart w:id="0" w:name="_GoBack"/>
      <w:bookmarkEnd w:id="0"/>
      <w:r w:rsidRPr="007F4BFC">
        <w:rPr>
          <w:rFonts w:cstheme="minorHAnsi"/>
          <w:b/>
        </w:rPr>
        <w:t>Fact Sheet: F</w:t>
      </w:r>
      <w:r w:rsidR="0072038D" w:rsidRPr="007F4BFC">
        <w:rPr>
          <w:rFonts w:cstheme="minorHAnsi"/>
          <w:b/>
        </w:rPr>
        <w:t>irearms in New Zealand</w:t>
      </w:r>
      <w:r w:rsidR="007068A4">
        <w:rPr>
          <w:rFonts w:cstheme="minorHAnsi"/>
          <w:b/>
        </w:rPr>
        <w:t xml:space="preserve">  </w:t>
      </w:r>
      <w:r w:rsidR="00DD3F62">
        <w:rPr>
          <w:rFonts w:cstheme="minorHAnsi"/>
          <w:b/>
        </w:rPr>
        <w:t>3 April 2019</w:t>
      </w:r>
      <w:r w:rsidR="009A703B">
        <w:rPr>
          <w:rFonts w:cstheme="minorHAnsi"/>
          <w:b/>
        </w:rPr>
        <w:t xml:space="preserve">    </w:t>
      </w:r>
    </w:p>
    <w:p w14:paraId="7F2AD2ED" w14:textId="3082CA29" w:rsidR="00795B29" w:rsidRPr="00795B29" w:rsidRDefault="002B1120" w:rsidP="008B0B27">
      <w:r>
        <w:rPr>
          <w:rFonts w:cstheme="minorHAnsi"/>
        </w:rPr>
        <w:t>This fact sheet</w:t>
      </w:r>
      <w:r w:rsidR="001838BE" w:rsidRPr="007F4BFC">
        <w:rPr>
          <w:rFonts w:cstheme="minorHAnsi"/>
        </w:rPr>
        <w:t xml:space="preserve"> outlines information about firearms </w:t>
      </w:r>
      <w:r w:rsidR="00435E31">
        <w:rPr>
          <w:rFonts w:cstheme="minorHAnsi"/>
        </w:rPr>
        <w:t xml:space="preserve">for </w:t>
      </w:r>
      <w:r w:rsidR="001838BE" w:rsidRPr="007F4BFC">
        <w:rPr>
          <w:rFonts w:cstheme="minorHAnsi"/>
        </w:rPr>
        <w:t xml:space="preserve">New Zealanders </w:t>
      </w:r>
      <w:r w:rsidR="00047F9A" w:rsidRPr="007F4BFC">
        <w:rPr>
          <w:rFonts w:cstheme="minorHAnsi"/>
        </w:rPr>
        <w:t>following the mass shooting</w:t>
      </w:r>
      <w:r w:rsidR="009A7EBE" w:rsidRPr="007F4BFC">
        <w:rPr>
          <w:rFonts w:cstheme="minorHAnsi"/>
        </w:rPr>
        <w:t>s</w:t>
      </w:r>
      <w:r w:rsidR="00047F9A" w:rsidRPr="007F4BFC">
        <w:rPr>
          <w:rFonts w:cstheme="minorHAnsi"/>
        </w:rPr>
        <w:t xml:space="preserve"> of 15 March 2019.</w:t>
      </w:r>
      <w:r w:rsidR="00DD3F62" w:rsidRPr="00795B29">
        <w:t xml:space="preserve"> </w:t>
      </w:r>
    </w:p>
    <w:p w14:paraId="28EAB9B2" w14:textId="62DED054" w:rsidR="000435A1" w:rsidRPr="007F4BFC" w:rsidRDefault="00795B29" w:rsidP="008B0B27">
      <w:pPr>
        <w:rPr>
          <w:rFonts w:cstheme="minorHAnsi"/>
        </w:rPr>
      </w:pPr>
      <w:r w:rsidRPr="007F4BFC">
        <w:rPr>
          <w:rFonts w:cstheme="minorHAnsi"/>
          <w:b/>
        </w:rPr>
        <w:t>Background</w:t>
      </w:r>
      <w:r>
        <w:rPr>
          <w:rFonts w:cstheme="minorHAnsi"/>
          <w:b/>
        </w:rPr>
        <w:t>.</w:t>
      </w:r>
      <w:r w:rsidRPr="007F4BFC">
        <w:rPr>
          <w:rFonts w:cstheme="minorHAnsi"/>
        </w:rPr>
        <w:t xml:space="preserve"> </w:t>
      </w:r>
      <w:r w:rsidR="00047F9A" w:rsidRPr="007F4BFC">
        <w:rPr>
          <w:rFonts w:cstheme="minorHAnsi"/>
        </w:rPr>
        <w:t xml:space="preserve">Prime Minister Jacinda Ardern </w:t>
      </w:r>
      <w:r w:rsidR="001838BE" w:rsidRPr="007F4BFC">
        <w:rPr>
          <w:rFonts w:cstheme="minorHAnsi"/>
        </w:rPr>
        <w:t xml:space="preserve">announced </w:t>
      </w:r>
      <w:hyperlink r:id="rId8" w:anchor="LMS173647" w:history="1">
        <w:r w:rsidR="001838BE" w:rsidRPr="007F4BFC">
          <w:rPr>
            <w:rStyle w:val="Hyperlink"/>
            <w:rFonts w:cstheme="minorHAnsi"/>
          </w:rPr>
          <w:t>changes to the firearms law</w:t>
        </w:r>
      </w:hyperlink>
      <w:r w:rsidR="001838BE" w:rsidRPr="007F4BFC">
        <w:rPr>
          <w:rFonts w:cstheme="minorHAnsi"/>
        </w:rPr>
        <w:t xml:space="preserve"> </w:t>
      </w:r>
      <w:r w:rsidR="00047F9A" w:rsidRPr="007F4BFC">
        <w:rPr>
          <w:rFonts w:cstheme="minorHAnsi"/>
        </w:rPr>
        <w:t xml:space="preserve">on </w:t>
      </w:r>
      <w:r w:rsidR="00021D95" w:rsidRPr="007F4BFC">
        <w:rPr>
          <w:rFonts w:cstheme="minorHAnsi"/>
        </w:rPr>
        <w:t xml:space="preserve">21 </w:t>
      </w:r>
      <w:r w:rsidR="009A703B">
        <w:rPr>
          <w:rFonts w:cstheme="minorHAnsi"/>
        </w:rPr>
        <w:t xml:space="preserve">March 2019: </w:t>
      </w:r>
      <w:r w:rsidR="001838BE" w:rsidRPr="007F4BFC">
        <w:rPr>
          <w:rFonts w:cstheme="minorHAnsi"/>
        </w:rPr>
        <w:t>a ban on military-style semi-automatics and assault rifles</w:t>
      </w:r>
      <w:r w:rsidR="00E21A17" w:rsidRPr="007F4BFC">
        <w:rPr>
          <w:rFonts w:cstheme="minorHAnsi"/>
        </w:rPr>
        <w:t>, along with related parts and high-capacity magazines</w:t>
      </w:r>
      <w:r w:rsidR="009A703B">
        <w:rPr>
          <w:rFonts w:cstheme="minorHAnsi"/>
        </w:rPr>
        <w:t xml:space="preserve">, </w:t>
      </w:r>
      <w:r w:rsidR="00021D95" w:rsidRPr="007F4BFC">
        <w:rPr>
          <w:rFonts w:cstheme="minorHAnsi"/>
        </w:rPr>
        <w:t>operational</w:t>
      </w:r>
      <w:r w:rsidR="001838BE" w:rsidRPr="007F4BFC">
        <w:rPr>
          <w:rFonts w:cstheme="minorHAnsi"/>
        </w:rPr>
        <w:t xml:space="preserve"> immediately.</w:t>
      </w:r>
      <w:r w:rsidR="00545359">
        <w:rPr>
          <w:rFonts w:cstheme="minorHAnsi"/>
        </w:rPr>
        <w:t xml:space="preserve"> The </w:t>
      </w:r>
      <w:hyperlink r:id="rId9" w:history="1">
        <w:r w:rsidR="00545359" w:rsidRPr="00545359">
          <w:rPr>
            <w:rStyle w:val="Hyperlink"/>
            <w:rFonts w:cstheme="minorHAnsi"/>
          </w:rPr>
          <w:t>bill</w:t>
        </w:r>
      </w:hyperlink>
      <w:r w:rsidR="00545359">
        <w:rPr>
          <w:rFonts w:cstheme="minorHAnsi"/>
        </w:rPr>
        <w:t xml:space="preserve"> dealing with this is before Parliament this week, </w:t>
      </w:r>
      <w:r w:rsidR="006A3595">
        <w:rPr>
          <w:rFonts w:cstheme="minorHAnsi"/>
        </w:rPr>
        <w:t>and t</w:t>
      </w:r>
      <w:r w:rsidR="007556E7">
        <w:rPr>
          <w:rFonts w:cstheme="minorHAnsi"/>
        </w:rPr>
        <w:t>he g</w:t>
      </w:r>
      <w:r w:rsidR="00E41A7B" w:rsidRPr="007F4BFC">
        <w:rPr>
          <w:rFonts w:cstheme="minorHAnsi"/>
        </w:rPr>
        <w:t xml:space="preserve">overnment </w:t>
      </w:r>
      <w:r w:rsidR="006A3595">
        <w:rPr>
          <w:rFonts w:cstheme="minorHAnsi"/>
        </w:rPr>
        <w:t xml:space="preserve">has </w:t>
      </w:r>
      <w:r w:rsidR="00047F9A" w:rsidRPr="007F4BFC">
        <w:rPr>
          <w:rFonts w:cstheme="minorHAnsi"/>
        </w:rPr>
        <w:t xml:space="preserve">foreshadowed </w:t>
      </w:r>
      <w:r w:rsidR="006A3595" w:rsidRPr="003D1D35">
        <w:t>further likely changes</w:t>
      </w:r>
      <w:r w:rsidR="00EA7A2C">
        <w:rPr>
          <w:rFonts w:cstheme="minorHAnsi"/>
        </w:rPr>
        <w:t>.</w:t>
      </w:r>
      <w:r w:rsidR="001838BE" w:rsidRPr="007F4BFC">
        <w:rPr>
          <w:rFonts w:cstheme="minorHAnsi"/>
        </w:rPr>
        <w:t xml:space="preserve"> </w:t>
      </w:r>
    </w:p>
    <w:p w14:paraId="4FE2B535" w14:textId="77777777" w:rsidR="008B0B27" w:rsidRDefault="0072038D" w:rsidP="008B0B27">
      <w:pPr>
        <w:spacing w:after="0"/>
        <w:rPr>
          <w:rFonts w:cstheme="minorHAnsi"/>
          <w:b/>
        </w:rPr>
      </w:pPr>
      <w:r w:rsidRPr="007F4BFC">
        <w:rPr>
          <w:rFonts w:cstheme="minorHAnsi"/>
          <w:b/>
        </w:rPr>
        <w:t>Deaths and injuries from firearms in New Zealand</w:t>
      </w:r>
    </w:p>
    <w:p w14:paraId="474EA066" w14:textId="77777777" w:rsidR="00232DBF" w:rsidRPr="008B0B27" w:rsidRDefault="008B0B27" w:rsidP="008B0B27">
      <w:pPr>
        <w:pStyle w:val="ListParagraph"/>
        <w:numPr>
          <w:ilvl w:val="0"/>
          <w:numId w:val="16"/>
        </w:numPr>
        <w:spacing w:after="0"/>
        <w:rPr>
          <w:rFonts w:cstheme="minorHAnsi"/>
        </w:rPr>
      </w:pPr>
      <w:r w:rsidRPr="008B0B27">
        <w:rPr>
          <w:rFonts w:cstheme="minorHAnsi"/>
        </w:rPr>
        <w:t>T</w:t>
      </w:r>
      <w:r w:rsidR="00795B29" w:rsidRPr="008B0B27">
        <w:rPr>
          <w:rFonts w:cstheme="minorHAnsi"/>
        </w:rPr>
        <w:t>he extreme lethality of firearms is a concern.</w:t>
      </w:r>
    </w:p>
    <w:p w14:paraId="2E6C4358" w14:textId="77777777" w:rsidR="00EA7A2C" w:rsidRPr="00D56116" w:rsidRDefault="00E41A7B" w:rsidP="008B0B27">
      <w:pPr>
        <w:pStyle w:val="ListParagraph"/>
        <w:numPr>
          <w:ilvl w:val="0"/>
          <w:numId w:val="16"/>
        </w:numPr>
        <w:spacing w:after="0"/>
        <w:rPr>
          <w:rFonts w:cstheme="minorHAnsi"/>
        </w:rPr>
      </w:pPr>
      <w:r w:rsidRPr="00EA7A2C">
        <w:rPr>
          <w:rFonts w:cstheme="minorHAnsi"/>
        </w:rPr>
        <w:t xml:space="preserve">There </w:t>
      </w:r>
      <w:r w:rsidR="00051B12">
        <w:rPr>
          <w:rFonts w:cstheme="minorHAnsi"/>
        </w:rPr>
        <w:t xml:space="preserve">were 867 </w:t>
      </w:r>
      <w:r w:rsidR="00154216">
        <w:rPr>
          <w:rFonts w:cstheme="minorHAnsi"/>
        </w:rPr>
        <w:t>firearms deaths from 2000 to 2015</w:t>
      </w:r>
      <w:r w:rsidR="00E12D9A">
        <w:rPr>
          <w:rFonts w:cstheme="minorHAnsi"/>
        </w:rPr>
        <w:t>, an average of 54 per year</w:t>
      </w:r>
      <w:r w:rsidR="00D56116">
        <w:rPr>
          <w:rFonts w:cstheme="minorHAnsi"/>
        </w:rPr>
        <w:t>.</w:t>
      </w:r>
      <w:r w:rsidR="00D56116" w:rsidRPr="00D56116">
        <w:rPr>
          <w:rFonts w:cstheme="minorHAnsi"/>
          <w:vertAlign w:val="superscript"/>
        </w:rPr>
        <w:fldChar w:fldCharType="begin"/>
      </w:r>
      <w:r w:rsidR="006415A4">
        <w:rPr>
          <w:rFonts w:cstheme="minorHAnsi"/>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Cite&gt;&lt;Author&gt;Telfar-Barnard&lt;/Author&gt;&lt;Year&gt;2019&lt;/Year&gt;&lt;RecNum&gt;282&lt;/RecNum&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rFonts w:cstheme="minorHAnsi"/>
          <w:vertAlign w:val="superscript"/>
        </w:rPr>
        <w:fldChar w:fldCharType="separate"/>
      </w:r>
      <w:r w:rsidR="00D56116" w:rsidRPr="00D56116">
        <w:rPr>
          <w:rFonts w:cstheme="minorHAnsi"/>
          <w:noProof/>
          <w:vertAlign w:val="superscript"/>
        </w:rPr>
        <w:t>[1]</w:t>
      </w:r>
      <w:r w:rsidR="00D56116" w:rsidRPr="00D56116">
        <w:rPr>
          <w:rFonts w:cstheme="minorHAnsi"/>
          <w:vertAlign w:val="superscript"/>
        </w:rPr>
        <w:fldChar w:fldCharType="end"/>
      </w:r>
    </w:p>
    <w:p w14:paraId="0A605C17" w14:textId="1B8F329E" w:rsidR="00D56116" w:rsidRDefault="007068A4" w:rsidP="008B0B27">
      <w:pPr>
        <w:pStyle w:val="ListParagraph"/>
        <w:numPr>
          <w:ilvl w:val="0"/>
          <w:numId w:val="16"/>
        </w:numPr>
        <w:spacing w:after="0"/>
        <w:rPr>
          <w:rFonts w:cstheme="minorHAnsi"/>
        </w:rPr>
      </w:pPr>
      <w:r>
        <w:rPr>
          <w:rFonts w:cstheme="minorHAnsi"/>
        </w:rPr>
        <w:t>91 per cent</w:t>
      </w:r>
      <w:r w:rsidR="00D56116">
        <w:rPr>
          <w:rFonts w:cstheme="minorHAnsi"/>
        </w:rPr>
        <w:t xml:space="preserve"> of firearms deaths were males.</w:t>
      </w:r>
      <w:r w:rsidR="00D56116" w:rsidRPr="00D56116">
        <w:rPr>
          <w:rFonts w:cstheme="minorHAnsi"/>
          <w:vertAlign w:val="superscript"/>
        </w:rPr>
        <w:fldChar w:fldCharType="begin"/>
      </w:r>
      <w:r w:rsidR="006415A4">
        <w:rPr>
          <w:rFonts w:cstheme="minorHAnsi"/>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rFonts w:cstheme="minorHAnsi"/>
          <w:vertAlign w:val="superscript"/>
        </w:rPr>
        <w:fldChar w:fldCharType="separate"/>
      </w:r>
      <w:r w:rsidR="00D56116" w:rsidRPr="00D56116">
        <w:rPr>
          <w:rFonts w:cstheme="minorHAnsi"/>
          <w:noProof/>
          <w:vertAlign w:val="superscript"/>
        </w:rPr>
        <w:t>[1]</w:t>
      </w:r>
      <w:r w:rsidR="00D56116" w:rsidRPr="00D56116">
        <w:rPr>
          <w:rFonts w:cstheme="minorHAnsi"/>
          <w:vertAlign w:val="superscript"/>
        </w:rPr>
        <w:fldChar w:fldCharType="end"/>
      </w:r>
    </w:p>
    <w:p w14:paraId="2DB99F05" w14:textId="2238E76E" w:rsidR="00D56116" w:rsidRPr="00D56116" w:rsidRDefault="00FF6E6E" w:rsidP="00D56116">
      <w:pPr>
        <w:pStyle w:val="ListParagraph"/>
        <w:numPr>
          <w:ilvl w:val="0"/>
          <w:numId w:val="16"/>
        </w:numPr>
        <w:spacing w:after="0"/>
        <w:rPr>
          <w:rFonts w:cstheme="minorHAnsi"/>
        </w:rPr>
      </w:pPr>
      <w:r w:rsidRPr="008B0B27">
        <w:rPr>
          <w:rFonts w:cstheme="minorHAnsi"/>
        </w:rPr>
        <w:t>Most of these firearms dea</w:t>
      </w:r>
      <w:r w:rsidR="007F4BFC" w:rsidRPr="008B0B27">
        <w:rPr>
          <w:rFonts w:cstheme="minorHAnsi"/>
        </w:rPr>
        <w:t>ths are suicides, about 40 per ye</w:t>
      </w:r>
      <w:r w:rsidR="001B2EDF" w:rsidRPr="008B0B27">
        <w:rPr>
          <w:rFonts w:cstheme="minorHAnsi"/>
        </w:rPr>
        <w:t>ar in recent years (see</w:t>
      </w:r>
      <w:r w:rsidR="00D56116">
        <w:rPr>
          <w:rFonts w:cstheme="minorHAnsi"/>
        </w:rPr>
        <w:t xml:space="preserve"> Appendix</w:t>
      </w:r>
      <w:r w:rsidR="00016751">
        <w:rPr>
          <w:rFonts w:cstheme="minorHAnsi"/>
        </w:rPr>
        <w:t xml:space="preserve"> </w:t>
      </w:r>
      <w:r w:rsidR="00016751" w:rsidRPr="00016751">
        <w:rPr>
          <w:rFonts w:cstheme="minorHAnsi"/>
        </w:rPr>
        <w:t>Table 1</w:t>
      </w:r>
      <w:r w:rsidR="001B2EDF" w:rsidRPr="008B0B27">
        <w:rPr>
          <w:rFonts w:cstheme="minorHAnsi"/>
        </w:rPr>
        <w:t xml:space="preserve">) </w:t>
      </w:r>
      <w:r w:rsidR="007F4BFC" w:rsidRPr="008B0B27">
        <w:rPr>
          <w:rFonts w:cstheme="minorHAnsi"/>
        </w:rPr>
        <w:t>making up about eight per</w:t>
      </w:r>
      <w:r w:rsidR="007068A4">
        <w:rPr>
          <w:rFonts w:cstheme="minorHAnsi"/>
        </w:rPr>
        <w:t xml:space="preserve"> </w:t>
      </w:r>
      <w:r w:rsidR="007F4BFC" w:rsidRPr="008B0B27">
        <w:rPr>
          <w:rFonts w:cstheme="minorHAnsi"/>
        </w:rPr>
        <w:t>cent to 10 per</w:t>
      </w:r>
      <w:r w:rsidR="007068A4">
        <w:rPr>
          <w:rFonts w:cstheme="minorHAnsi"/>
        </w:rPr>
        <w:t xml:space="preserve"> </w:t>
      </w:r>
      <w:r w:rsidR="007F4BFC" w:rsidRPr="008B0B27">
        <w:rPr>
          <w:rFonts w:cstheme="minorHAnsi"/>
        </w:rPr>
        <w:t xml:space="preserve">cent of all suicides. </w:t>
      </w:r>
    </w:p>
    <w:p w14:paraId="4516534A" w14:textId="6F64407B" w:rsidR="006415A4" w:rsidRPr="00437676" w:rsidRDefault="00545359" w:rsidP="006415A4">
      <w:pPr>
        <w:pStyle w:val="ListParagraph"/>
        <w:numPr>
          <w:ilvl w:val="0"/>
          <w:numId w:val="16"/>
        </w:numPr>
      </w:pPr>
      <w:r>
        <w:rPr>
          <w:rFonts w:cstheme="minorHAnsi"/>
        </w:rPr>
        <w:t>Ready a</w:t>
      </w:r>
      <w:r w:rsidR="006415A4" w:rsidRPr="008B0B27">
        <w:rPr>
          <w:rFonts w:cstheme="minorHAnsi"/>
        </w:rPr>
        <w:t xml:space="preserve">ccess to firearms </w:t>
      </w:r>
      <w:r w:rsidR="006A3595">
        <w:rPr>
          <w:rFonts w:cstheme="minorHAnsi"/>
        </w:rPr>
        <w:t>is</w:t>
      </w:r>
      <w:r>
        <w:rPr>
          <w:rFonts w:cstheme="minorHAnsi"/>
        </w:rPr>
        <w:t xml:space="preserve"> significant for</w:t>
      </w:r>
      <w:r w:rsidR="006A3595">
        <w:rPr>
          <w:rFonts w:cstheme="minorHAnsi"/>
        </w:rPr>
        <w:t xml:space="preserve"> suicide. N</w:t>
      </w:r>
      <w:r w:rsidR="006415A4">
        <w:rPr>
          <w:rFonts w:cstheme="minorHAnsi"/>
        </w:rPr>
        <w:t xml:space="preserve">early </w:t>
      </w:r>
      <w:r w:rsidR="007068A4">
        <w:rPr>
          <w:rFonts w:cstheme="minorHAnsi"/>
          <w:shd w:val="clear" w:color="auto" w:fill="FFFFFF"/>
        </w:rPr>
        <w:t>40 per cent</w:t>
      </w:r>
      <w:r w:rsidR="006415A4">
        <w:rPr>
          <w:rFonts w:cstheme="minorHAnsi"/>
          <w:shd w:val="clear" w:color="auto" w:fill="FFFFFF"/>
        </w:rPr>
        <w:t xml:space="preserve"> of farm suicides involve</w:t>
      </w:r>
      <w:r w:rsidR="006415A4" w:rsidRPr="008B0B27">
        <w:rPr>
          <w:rFonts w:cstheme="minorHAnsi"/>
          <w:shd w:val="clear" w:color="auto" w:fill="FFFFFF"/>
        </w:rPr>
        <w:t xml:space="preserve"> firearms, compared </w:t>
      </w:r>
      <w:r w:rsidR="007068A4">
        <w:rPr>
          <w:rFonts w:cstheme="minorHAnsi"/>
          <w:shd w:val="clear" w:color="auto" w:fill="FFFFFF"/>
        </w:rPr>
        <w:t>to eight per cent</w:t>
      </w:r>
      <w:r w:rsidR="006415A4">
        <w:rPr>
          <w:rFonts w:cstheme="minorHAnsi"/>
          <w:shd w:val="clear" w:color="auto" w:fill="FFFFFF"/>
        </w:rPr>
        <w:t xml:space="preserve"> </w:t>
      </w:r>
      <w:r w:rsidR="006A3595">
        <w:rPr>
          <w:rFonts w:cstheme="minorHAnsi"/>
          <w:shd w:val="clear" w:color="auto" w:fill="FFFFFF"/>
        </w:rPr>
        <w:t xml:space="preserve">of suicides </w:t>
      </w:r>
      <w:r w:rsidR="006415A4">
        <w:rPr>
          <w:rFonts w:cstheme="minorHAnsi"/>
          <w:shd w:val="clear" w:color="auto" w:fill="FFFFFF"/>
        </w:rPr>
        <w:t>in the general population using</w:t>
      </w:r>
      <w:r w:rsidR="006A3595">
        <w:rPr>
          <w:rFonts w:cstheme="minorHAnsi"/>
          <w:shd w:val="clear" w:color="auto" w:fill="FFFFFF"/>
        </w:rPr>
        <w:t xml:space="preserve"> firearms </w:t>
      </w:r>
      <w:r w:rsidR="006415A4" w:rsidRPr="008B0B27">
        <w:rPr>
          <w:rFonts w:cstheme="minorHAnsi"/>
          <w:shd w:val="clear" w:color="auto" w:fill="FFFFFF"/>
        </w:rPr>
        <w:t>.</w:t>
      </w:r>
      <w:r w:rsidR="006415A4" w:rsidRPr="008B0B27">
        <w:rPr>
          <w:rFonts w:cstheme="minorHAnsi"/>
          <w:shd w:val="clear" w:color="auto" w:fill="FFFFFF"/>
          <w:vertAlign w:val="superscript"/>
        </w:rPr>
        <w:fldChar w:fldCharType="begin"/>
      </w:r>
      <w:r w:rsidR="006415A4">
        <w:rPr>
          <w:rFonts w:cstheme="minorHAnsi"/>
          <w:shd w:val="clear" w:color="auto" w:fill="FFFFFF"/>
          <w:vertAlign w:val="superscript"/>
        </w:rPr>
        <w:instrText xml:space="preserve"> ADDIN EN.CITE &lt;EndNote&gt;&lt;Cite&gt;&lt;Author&gt;Beautrais&lt;/Author&gt;&lt;Year&gt;2018&lt;/Year&gt;&lt;RecNum&gt;271&lt;/RecNum&gt;&lt;DisplayText&gt;[2]&lt;/DisplayText&gt;&lt;record&gt;&lt;rec-number&gt;271&lt;/rec-number&gt;&lt;foreign-keys&gt;&lt;key app="EN" db-id="rfpw52atcxw998esway5r02srws0s0r5r2xd" timestamp="1553570903"&gt;271&lt;/key&gt;&lt;/foreign-keys&gt;&lt;ref-type name="Journal Article"&gt;17&lt;/ref-type&gt;&lt;contributors&gt;&lt;authors&gt;&lt;author&gt;Beautrais, Annette L&lt;/author&gt;&lt;/authors&gt;&lt;/contributors&gt;&lt;titles&gt;&lt;title&gt;Farm suicides in New Zealand, 2007–2015: A review of coroners’ records&lt;/title&gt;&lt;secondary-title&gt;Australian &amp;amp; New Zealand Journal of Psychiatry&lt;/secondary-title&gt;&lt;/titles&gt;&lt;periodical&gt;&lt;full-title&gt;Australian &amp;amp; New Zealand Journal of Psychiatry&lt;/full-title&gt;&lt;/periodical&gt;&lt;pages&gt;78-86&lt;/pages&gt;&lt;volume&gt;52&lt;/volume&gt;&lt;number&gt;1&lt;/number&gt;&lt;keywords&gt;&lt;keyword&gt;Suicide,farm,coroners’ records,New Zealand,firearms,economic recession&lt;/keyword&gt;&lt;/keywords&gt;&lt;dates&gt;&lt;year&gt;2018&lt;/year&gt;&lt;/dates&gt;&lt;accession-num&gt;28410567&lt;/accession-num&gt;&lt;urls&gt;&lt;related-urls&gt;&lt;url&gt;https://journals.sagepub.com/doi/abs/10.1177/0004867417704058&lt;/url&gt;&lt;/related-urls&gt;&lt;/urls&gt;&lt;electronic-resource-num&gt;10.1177/0004867417704058&lt;/electronic-resource-num&gt;&lt;/record&gt;&lt;/Cite&gt;&lt;/EndNote&gt;</w:instrText>
      </w:r>
      <w:r w:rsidR="006415A4" w:rsidRPr="008B0B27">
        <w:rPr>
          <w:rFonts w:cstheme="minorHAnsi"/>
          <w:shd w:val="clear" w:color="auto" w:fill="FFFFFF"/>
          <w:vertAlign w:val="superscript"/>
        </w:rPr>
        <w:fldChar w:fldCharType="separate"/>
      </w:r>
      <w:r w:rsidR="006415A4">
        <w:rPr>
          <w:rFonts w:cstheme="minorHAnsi"/>
          <w:noProof/>
          <w:shd w:val="clear" w:color="auto" w:fill="FFFFFF"/>
          <w:vertAlign w:val="superscript"/>
        </w:rPr>
        <w:t>[2]</w:t>
      </w:r>
      <w:r w:rsidR="006415A4" w:rsidRPr="008B0B27">
        <w:rPr>
          <w:rFonts w:cstheme="minorHAnsi"/>
          <w:shd w:val="clear" w:color="auto" w:fill="FFFFFF"/>
          <w:vertAlign w:val="superscript"/>
        </w:rPr>
        <w:fldChar w:fldCharType="end"/>
      </w:r>
      <w:r w:rsidR="006415A4" w:rsidRPr="008B0B27">
        <w:rPr>
          <w:rFonts w:cstheme="minorHAnsi"/>
          <w:shd w:val="clear" w:color="auto" w:fill="FFFFFF"/>
        </w:rPr>
        <w:t xml:space="preserve"> </w:t>
      </w:r>
    </w:p>
    <w:p w14:paraId="04861ADF" w14:textId="77777777" w:rsidR="00EA7A2C" w:rsidRPr="00EA7A2C" w:rsidRDefault="007F4BFC" w:rsidP="008B0B27">
      <w:pPr>
        <w:pStyle w:val="ListParagraph"/>
        <w:numPr>
          <w:ilvl w:val="0"/>
          <w:numId w:val="16"/>
        </w:numPr>
      </w:pPr>
      <w:r w:rsidRPr="008B0B27">
        <w:rPr>
          <w:rFonts w:cstheme="minorHAnsi"/>
        </w:rPr>
        <w:t xml:space="preserve">Other </w:t>
      </w:r>
      <w:r w:rsidR="00EA7A2C" w:rsidRPr="008B0B27">
        <w:rPr>
          <w:rFonts w:cstheme="minorHAnsi"/>
        </w:rPr>
        <w:t xml:space="preserve">firearms </w:t>
      </w:r>
      <w:r w:rsidRPr="008B0B27">
        <w:rPr>
          <w:rFonts w:cstheme="minorHAnsi"/>
        </w:rPr>
        <w:t xml:space="preserve">deaths </w:t>
      </w:r>
      <w:r w:rsidR="00EA7A2C" w:rsidRPr="008B0B27">
        <w:rPr>
          <w:rFonts w:cstheme="minorHAnsi"/>
        </w:rPr>
        <w:t xml:space="preserve">are </w:t>
      </w:r>
      <w:r w:rsidRPr="008B0B27">
        <w:rPr>
          <w:rFonts w:cstheme="minorHAnsi"/>
        </w:rPr>
        <w:t xml:space="preserve">homicides and accidents. </w:t>
      </w:r>
      <w:r w:rsidR="008B0B27">
        <w:t>In the 10</w:t>
      </w:r>
      <w:r w:rsidR="006415A4">
        <w:t xml:space="preserve"> years 2008-</w:t>
      </w:r>
      <w:r>
        <w:t>2017 there were 69 firearms homicides, an</w:t>
      </w:r>
      <w:r w:rsidR="005E2517">
        <w:t xml:space="preserve"> average of about </w:t>
      </w:r>
      <w:r w:rsidR="008B0B27">
        <w:t xml:space="preserve">seven </w:t>
      </w:r>
      <w:r w:rsidR="005E2517">
        <w:t>per year.</w:t>
      </w:r>
      <w:r w:rsidR="005E2517" w:rsidRPr="008B0B27">
        <w:rPr>
          <w:vertAlign w:val="superscript"/>
        </w:rPr>
        <w:fldChar w:fldCharType="begin"/>
      </w:r>
      <w:r w:rsidR="006415A4">
        <w:rPr>
          <w:vertAlign w:val="superscript"/>
        </w:rPr>
        <w:instrText xml:space="preserve"> ADDIN EN.CITE &lt;EndNote&gt;&lt;Cite&gt;&lt;Author&gt;Scahill&lt;/Author&gt;&lt;Year&gt;2018, 17 December&lt;/Year&gt;&lt;RecNum&gt;274&lt;/RecNum&gt;&lt;DisplayText&gt;[3]&lt;/DisplayText&gt;&lt;record&gt;&lt;rec-number&gt;274&lt;/rec-number&gt;&lt;foreign-keys&gt;&lt;key app="EN" db-id="rfpw52atcxw998esway5r02srws0s0r5r2xd" timestamp="1553910738"&gt;274&lt;/key&gt;&lt;/foreign-keys&gt;&lt;ref-type name="Generic"&gt;13&lt;/ref-type&gt;&lt;contributors&gt;&lt;authors&gt;&lt;author&gt;Scahill, Chris&lt;/author&gt;&lt;/authors&gt;&lt;secondary-authors&gt;&lt;author&gt;New Zealand Police,&lt;/author&gt;&lt;/secondary-authors&gt;&lt;/contributors&gt;&lt;titles&gt;&lt;title&gt;Official Information Act Disclosure, IR-01-18-17024  https://www.police.govt.nz/sites/default/files/publications/25-nov-2018-ir-01-18-17024.pdf &lt;/title&gt;&lt;/titles&gt;&lt;dates&gt;&lt;year&gt;2018, 17 December&lt;/year&gt;&lt;/dates&gt;&lt;pub-location&gt;Wellington &lt;/pub-location&gt;&lt;urls&gt;&lt;/urls&gt;&lt;/record&gt;&lt;/Cite&gt;&lt;/EndNote&gt;</w:instrText>
      </w:r>
      <w:r w:rsidR="005E2517" w:rsidRPr="008B0B27">
        <w:rPr>
          <w:vertAlign w:val="superscript"/>
        </w:rPr>
        <w:fldChar w:fldCharType="separate"/>
      </w:r>
      <w:r w:rsidR="006415A4">
        <w:rPr>
          <w:noProof/>
          <w:vertAlign w:val="superscript"/>
        </w:rPr>
        <w:t>[3]</w:t>
      </w:r>
      <w:r w:rsidR="005E2517" w:rsidRPr="008B0B27">
        <w:rPr>
          <w:vertAlign w:val="superscript"/>
        </w:rPr>
        <w:fldChar w:fldCharType="end"/>
      </w:r>
    </w:p>
    <w:p w14:paraId="27C1A073" w14:textId="77777777" w:rsidR="00016751" w:rsidRPr="00016751" w:rsidRDefault="00437676" w:rsidP="00016751">
      <w:pPr>
        <w:pStyle w:val="ListParagraph"/>
        <w:numPr>
          <w:ilvl w:val="0"/>
          <w:numId w:val="16"/>
        </w:numPr>
        <w:spacing w:before="240"/>
      </w:pPr>
      <w:r>
        <w:rPr>
          <w:rFonts w:cstheme="minorHAnsi"/>
          <w:shd w:val="clear" w:color="auto" w:fill="FFFFFF"/>
        </w:rPr>
        <w:t>Hospitalisations for firearms injuries 2000-2017 were 2,181, an average of 121 per year.</w:t>
      </w:r>
    </w:p>
    <w:p w14:paraId="4A352189" w14:textId="77777777" w:rsidR="00016751" w:rsidRDefault="007F4BFC" w:rsidP="00016751">
      <w:pPr>
        <w:spacing w:after="0"/>
      </w:pPr>
      <w:r w:rsidRPr="00016751">
        <w:rPr>
          <w:b/>
        </w:rPr>
        <w:t>The New Zealand firearms system up to March 2019</w:t>
      </w:r>
    </w:p>
    <w:p w14:paraId="735462BA" w14:textId="77777777" w:rsidR="00EA7A2C" w:rsidRPr="00EA7A2C" w:rsidRDefault="005E6A5E" w:rsidP="00C50376">
      <w:pPr>
        <w:pStyle w:val="ListParagraph"/>
        <w:numPr>
          <w:ilvl w:val="0"/>
          <w:numId w:val="17"/>
        </w:numPr>
        <w:spacing w:after="0"/>
      </w:pPr>
      <w:r w:rsidRPr="005E6A5E">
        <w:t xml:space="preserve">There is no constitutional right to </w:t>
      </w:r>
      <w:r w:rsidR="00D367AD">
        <w:t xml:space="preserve">bear </w:t>
      </w:r>
      <w:r w:rsidRPr="005E6A5E">
        <w:t>firearms in New Zealand.</w:t>
      </w:r>
      <w:r w:rsidRPr="00C50376">
        <w:rPr>
          <w:b/>
        </w:rPr>
        <w:t xml:space="preserve"> </w:t>
      </w:r>
    </w:p>
    <w:p w14:paraId="075C713C" w14:textId="77777777" w:rsidR="00EA7A2C" w:rsidRDefault="007F4BFC" w:rsidP="00C50376">
      <w:pPr>
        <w:pStyle w:val="ListParagraph"/>
        <w:numPr>
          <w:ilvl w:val="0"/>
          <w:numId w:val="17"/>
        </w:numPr>
        <w:spacing w:after="0"/>
      </w:pPr>
      <w:r>
        <w:t>The</w:t>
      </w:r>
      <w:r w:rsidR="006415A4">
        <w:t xml:space="preserve"> main legislation on firearms is the</w:t>
      </w:r>
      <w:r>
        <w:t xml:space="preserve"> </w:t>
      </w:r>
      <w:hyperlink r:id="rId10" w:history="1">
        <w:r w:rsidRPr="00C50376">
          <w:rPr>
            <w:rStyle w:val="Hyperlink"/>
            <w:i/>
          </w:rPr>
          <w:t>Arms Act</w:t>
        </w:r>
        <w:r w:rsidRPr="006D763E">
          <w:rPr>
            <w:rStyle w:val="Hyperlink"/>
          </w:rPr>
          <w:t xml:space="preserve"> 1983</w:t>
        </w:r>
      </w:hyperlink>
      <w:r>
        <w:t xml:space="preserve"> and the </w:t>
      </w:r>
      <w:hyperlink r:id="rId11" w:history="1">
        <w:r w:rsidRPr="00C50376">
          <w:rPr>
            <w:rStyle w:val="Hyperlink"/>
            <w:i/>
          </w:rPr>
          <w:t>Arms Amendment Act</w:t>
        </w:r>
        <w:r w:rsidR="006D763E" w:rsidRPr="006D763E">
          <w:rPr>
            <w:rStyle w:val="Hyperlink"/>
          </w:rPr>
          <w:t xml:space="preserve"> 1992</w:t>
        </w:r>
      </w:hyperlink>
      <w:r w:rsidR="006415A4">
        <w:t>.</w:t>
      </w:r>
    </w:p>
    <w:p w14:paraId="0070C16C" w14:textId="77777777" w:rsidR="0063712A" w:rsidRDefault="00EA7A2C" w:rsidP="006415A4">
      <w:pPr>
        <w:pStyle w:val="ListParagraph"/>
        <w:numPr>
          <w:ilvl w:val="0"/>
          <w:numId w:val="17"/>
        </w:numPr>
        <w:spacing w:after="0"/>
      </w:pPr>
      <w:r>
        <w:t>F</w:t>
      </w:r>
      <w:r w:rsidR="00D367AD">
        <w:t>or over 25</w:t>
      </w:r>
      <w:r w:rsidR="006D763E">
        <w:t xml:space="preserve"> years </w:t>
      </w:r>
      <w:r>
        <w:t xml:space="preserve">the firearms system </w:t>
      </w:r>
      <w:r w:rsidR="006D763E">
        <w:t xml:space="preserve">has </w:t>
      </w:r>
      <w:r w:rsidR="005E6A5E">
        <w:t xml:space="preserve">licensed </w:t>
      </w:r>
      <w:r w:rsidR="006D763E">
        <w:t xml:space="preserve">the </w:t>
      </w:r>
      <w:r w:rsidR="006D763E" w:rsidRPr="00C50376">
        <w:rPr>
          <w:i/>
        </w:rPr>
        <w:t>person</w:t>
      </w:r>
      <w:r w:rsidR="006D763E">
        <w:t xml:space="preserve"> but not the </w:t>
      </w:r>
      <w:r w:rsidR="006D763E" w:rsidRPr="00C50376">
        <w:rPr>
          <w:i/>
        </w:rPr>
        <w:t xml:space="preserve">firearm, </w:t>
      </w:r>
      <w:r w:rsidR="00AD3942">
        <w:t xml:space="preserve">with some exceptions. </w:t>
      </w:r>
      <w:r w:rsidR="006415A4">
        <w:t xml:space="preserve">See </w:t>
      </w:r>
      <w:hyperlink r:id="rId12" w:history="1">
        <w:r w:rsidR="006415A4" w:rsidRPr="005F7B2F">
          <w:rPr>
            <w:rStyle w:val="Hyperlink"/>
          </w:rPr>
          <w:t>The Arms Code</w:t>
        </w:r>
      </w:hyperlink>
      <w:r w:rsidR="006415A4">
        <w:t xml:space="preserve"> for details.</w:t>
      </w:r>
    </w:p>
    <w:p w14:paraId="00B90FAD" w14:textId="77777777" w:rsidR="0063712A" w:rsidRDefault="00847E1B" w:rsidP="00C50376">
      <w:pPr>
        <w:pStyle w:val="ListParagraph"/>
        <w:numPr>
          <w:ilvl w:val="0"/>
          <w:numId w:val="17"/>
        </w:numPr>
        <w:spacing w:after="0"/>
      </w:pPr>
      <w:r>
        <w:t>Currently, a</w:t>
      </w:r>
      <w:r w:rsidR="005E6A5E">
        <w:t>nyone of any age c</w:t>
      </w:r>
      <w:r>
        <w:t>an</w:t>
      </w:r>
      <w:r w:rsidR="005E6A5E">
        <w:t xml:space="preserve"> use ‘A Category’ firearms </w:t>
      </w:r>
      <w:r w:rsidR="0036074F">
        <w:t xml:space="preserve">(such as rifles and shotguns) </w:t>
      </w:r>
      <w:r w:rsidR="005E6A5E">
        <w:t>without</w:t>
      </w:r>
      <w:r w:rsidR="000C3D47">
        <w:t xml:space="preserve"> having</w:t>
      </w:r>
      <w:r>
        <w:t xml:space="preserve"> a licence if they a</w:t>
      </w:r>
      <w:r w:rsidR="005E6A5E">
        <w:t>re under the direct supervisio</w:t>
      </w:r>
      <w:r w:rsidR="0063712A">
        <w:t>n of a firearms licence holder.</w:t>
      </w:r>
    </w:p>
    <w:p w14:paraId="569AFF3E" w14:textId="77777777" w:rsidR="0063712A" w:rsidRDefault="00847E1B" w:rsidP="00C50376">
      <w:pPr>
        <w:pStyle w:val="ListParagraph"/>
        <w:numPr>
          <w:ilvl w:val="0"/>
          <w:numId w:val="17"/>
        </w:numPr>
        <w:spacing w:after="0"/>
      </w:pPr>
      <w:r>
        <w:t>Anyone aged 16 o</w:t>
      </w:r>
      <w:r w:rsidR="0063712A">
        <w:t>r</w:t>
      </w:r>
      <w:r w:rsidR="00C50376">
        <w:t xml:space="preserve"> older</w:t>
      </w:r>
      <w:r w:rsidR="0063712A">
        <w:t xml:space="preserve"> can apply for a licence.</w:t>
      </w:r>
    </w:p>
    <w:p w14:paraId="133ED6FC" w14:textId="77777777" w:rsidR="0063712A" w:rsidRDefault="0063712A" w:rsidP="00C50376">
      <w:pPr>
        <w:pStyle w:val="ListParagraph"/>
        <w:numPr>
          <w:ilvl w:val="0"/>
          <w:numId w:val="17"/>
        </w:numPr>
        <w:spacing w:after="0"/>
      </w:pPr>
      <w:r>
        <w:t>A</w:t>
      </w:r>
      <w:r w:rsidR="00847E1B">
        <w:t>nyone aged 18 or older can</w:t>
      </w:r>
      <w:r w:rsidR="00AD3942">
        <w:t xml:space="preserve"> possess and use an airgun without any licence. </w:t>
      </w:r>
    </w:p>
    <w:p w14:paraId="6CCA4A86" w14:textId="68C21934" w:rsidR="0063712A" w:rsidRDefault="00847E1B" w:rsidP="00C50376">
      <w:pPr>
        <w:pStyle w:val="ListParagraph"/>
        <w:numPr>
          <w:ilvl w:val="0"/>
          <w:numId w:val="17"/>
        </w:numPr>
        <w:spacing w:after="0"/>
      </w:pPr>
      <w:r>
        <w:t>A first-time applicant</w:t>
      </w:r>
      <w:r w:rsidR="00F97891">
        <w:t xml:space="preserve"> for a </w:t>
      </w:r>
      <w:r w:rsidR="0063712A">
        <w:t xml:space="preserve">firearms </w:t>
      </w:r>
      <w:r w:rsidR="00F97891">
        <w:t xml:space="preserve">licence </w:t>
      </w:r>
      <w:r>
        <w:t>has to attend</w:t>
      </w:r>
      <w:r w:rsidR="00F97891">
        <w:t xml:space="preserve"> a safety lecture and test, </w:t>
      </w:r>
      <w:r>
        <w:t>apply</w:t>
      </w:r>
      <w:r w:rsidR="007068A4">
        <w:t xml:space="preserve"> to the p</w:t>
      </w:r>
      <w:r w:rsidR="00F97891">
        <w:t>olice with t</w:t>
      </w:r>
      <w:r>
        <w:t>wo passport-type photos and pay</w:t>
      </w:r>
      <w:r w:rsidR="005E6A5E">
        <w:t xml:space="preserve"> </w:t>
      </w:r>
      <w:r w:rsidR="00F97891">
        <w:t>the fee ($126.50</w:t>
      </w:r>
      <w:r w:rsidR="00DD3F62">
        <w:t xml:space="preserve"> covers the ten-year period</w:t>
      </w:r>
      <w:r w:rsidR="00F97891">
        <w:t xml:space="preserve"> for a standard </w:t>
      </w:r>
      <w:r w:rsidR="005F7B2F">
        <w:t>‘</w:t>
      </w:r>
      <w:r w:rsidR="00F97891">
        <w:t>A category</w:t>
      </w:r>
      <w:r w:rsidR="005F7B2F">
        <w:t>’</w:t>
      </w:r>
      <w:r w:rsidR="00F97891">
        <w:t xml:space="preserve"> l</w:t>
      </w:r>
      <w:r>
        <w:t xml:space="preserve">icence). </w:t>
      </w:r>
    </w:p>
    <w:p w14:paraId="2799F3BD" w14:textId="2685E6CD" w:rsidR="0063712A" w:rsidRDefault="00847E1B" w:rsidP="00C50376">
      <w:pPr>
        <w:pStyle w:val="ListParagraph"/>
        <w:numPr>
          <w:ilvl w:val="0"/>
          <w:numId w:val="17"/>
        </w:numPr>
        <w:spacing w:after="0"/>
      </w:pPr>
      <w:r>
        <w:t>Police</w:t>
      </w:r>
      <w:r w:rsidR="00DD3F62">
        <w:t xml:space="preserve"> officers</w:t>
      </w:r>
      <w:r>
        <w:t xml:space="preserve"> then check whether the applicant is</w:t>
      </w:r>
      <w:r w:rsidR="00F97891">
        <w:t xml:space="preserve"> a ‘fit and proper’ person to possess </w:t>
      </w:r>
      <w:r>
        <w:t>firearms, and physically check</w:t>
      </w:r>
      <w:r w:rsidR="00F97891">
        <w:t xml:space="preserve"> the person’s firearms storage arrangements. </w:t>
      </w:r>
    </w:p>
    <w:p w14:paraId="58285347" w14:textId="77777777" w:rsidR="0063712A" w:rsidRDefault="00F97891" w:rsidP="00C50376">
      <w:pPr>
        <w:pStyle w:val="ListParagraph"/>
        <w:numPr>
          <w:ilvl w:val="0"/>
          <w:numId w:val="17"/>
        </w:numPr>
        <w:spacing w:after="0"/>
      </w:pPr>
      <w:r>
        <w:t xml:space="preserve">Police </w:t>
      </w:r>
      <w:proofErr w:type="spellStart"/>
      <w:r w:rsidR="005F7B2F">
        <w:t>vettors</w:t>
      </w:r>
      <w:proofErr w:type="spellEnd"/>
      <w:r w:rsidR="005F7B2F">
        <w:t xml:space="preserve"> then </w:t>
      </w:r>
      <w:r w:rsidR="00847E1B">
        <w:t>interview</w:t>
      </w:r>
      <w:r>
        <w:t xml:space="preserve"> two people (one the applicant’s spouse, partner or next of kin)</w:t>
      </w:r>
      <w:r w:rsidR="005F7B2F">
        <w:t xml:space="preserve"> about the applicant’s suitability. </w:t>
      </w:r>
    </w:p>
    <w:p w14:paraId="1E0FBEC9" w14:textId="77777777" w:rsidR="0063712A" w:rsidRDefault="005E6A5E" w:rsidP="00C50376">
      <w:pPr>
        <w:pStyle w:val="ListParagraph"/>
        <w:numPr>
          <w:ilvl w:val="0"/>
          <w:numId w:val="17"/>
        </w:numPr>
        <w:spacing w:after="0"/>
      </w:pPr>
      <w:r>
        <w:t>Self-defence is</w:t>
      </w:r>
      <w:r w:rsidR="005F7B2F" w:rsidRPr="005F7B2F">
        <w:t xml:space="preserve"> not a valid reason to possess firearms</w:t>
      </w:r>
      <w:r w:rsidR="005F7B2F">
        <w:t xml:space="preserve">. </w:t>
      </w:r>
    </w:p>
    <w:p w14:paraId="5D16DF63" w14:textId="47EB74A3" w:rsidR="005F7B2F" w:rsidRDefault="00847E1B" w:rsidP="00C50376">
      <w:pPr>
        <w:pStyle w:val="ListParagraph"/>
        <w:numPr>
          <w:ilvl w:val="0"/>
          <w:numId w:val="17"/>
        </w:numPr>
        <w:spacing w:after="0"/>
      </w:pPr>
      <w:r>
        <w:t>Until now, s</w:t>
      </w:r>
      <w:r w:rsidR="005F7B2F">
        <w:t>ome firearms had to be registered with N</w:t>
      </w:r>
      <w:r w:rsidR="007068A4">
        <w:t xml:space="preserve">ew </w:t>
      </w:r>
      <w:r w:rsidR="005F7B2F">
        <w:t>Z</w:t>
      </w:r>
      <w:r w:rsidR="007068A4">
        <w:t>ealand</w:t>
      </w:r>
      <w:r w:rsidR="005F7B2F">
        <w:t xml:space="preserve"> Police: military-style semi-automatics</w:t>
      </w:r>
      <w:r w:rsidR="005E6A5E">
        <w:t xml:space="preserve"> (MSSAs)</w:t>
      </w:r>
      <w:r w:rsidR="005F7B2F">
        <w:t>, pistols and restricted firearms. People owning these, and dealers, collectors, people using firearms for theatre, film etc.</w:t>
      </w:r>
      <w:r>
        <w:t>,</w:t>
      </w:r>
      <w:r w:rsidR="005F7B2F">
        <w:t xml:space="preserve"> applied for special endorsements to their standard firearms licence.</w:t>
      </w:r>
    </w:p>
    <w:p w14:paraId="5184C5E9" w14:textId="77777777" w:rsidR="0063712A" w:rsidRDefault="00E16732" w:rsidP="00C50376">
      <w:pPr>
        <w:pStyle w:val="ListParagraph"/>
        <w:numPr>
          <w:ilvl w:val="0"/>
          <w:numId w:val="17"/>
        </w:numPr>
      </w:pPr>
      <w:r>
        <w:t>At 31 October 2018 there were 248,764 active firearms licences, including standard, dealer and visitor licences.</w:t>
      </w:r>
      <w:r w:rsidR="00AD3942" w:rsidRPr="00C50376">
        <w:rPr>
          <w:vertAlign w:val="superscript"/>
        </w:rPr>
        <w:fldChar w:fldCharType="begin"/>
      </w:r>
      <w:r w:rsidR="006415A4">
        <w:rPr>
          <w:vertAlign w:val="superscript"/>
        </w:rPr>
        <w:instrText xml:space="preserve"> ADDIN EN.CITE &lt;EndNote&gt;&lt;Cite&gt;&lt;Author&gt;Scahill&lt;/Author&gt;&lt;Year&gt;2018, 29 November&lt;/Year&gt;&lt;RecNum&gt;273&lt;/RecNum&gt;&lt;DisplayText&gt;[4]&lt;/DisplayText&gt;&lt;record&gt;&lt;rec-number&gt;273&lt;/rec-number&gt;&lt;foreign-keys&gt;&lt;key app="EN" db-id="rfpw52atcxw998esway5r02srws0s0r5r2xd" timestamp="1553813604"&gt;273&lt;/key&gt;&lt;/foreign-keys&gt;&lt;ref-type name="Government Document"&gt;46&lt;/ref-type&gt;&lt;contributors&gt;&lt;authors&gt;&lt;author&gt;Scahill, Chris&lt;/author&gt;&lt;/authors&gt;&lt;secondary-authors&gt;&lt;author&gt;New Zealand Police,&lt;/author&gt;&lt;/secondary-authors&gt;&lt;/contributors&gt;&lt;titles&gt;&lt;title&gt;Official Information Act Disclosure IR-01-18-11101, http//www.police.govt.nz/sites/default/files/publications/14-sep-2018-ir-01-18-11101.pdf&lt;/title&gt;&lt;/titles&gt;&lt;dates&gt;&lt;year&gt;2018, 29 November&lt;/year&gt;&lt;/dates&gt;&lt;pub-location&gt;Wellington&lt;/pub-location&gt;&lt;urls&gt;&lt;/urls&gt;&lt;/record&gt;&lt;/Cite&gt;&lt;/EndNote&gt;</w:instrText>
      </w:r>
      <w:r w:rsidR="00AD3942" w:rsidRPr="00C50376">
        <w:rPr>
          <w:vertAlign w:val="superscript"/>
        </w:rPr>
        <w:fldChar w:fldCharType="separate"/>
      </w:r>
      <w:r w:rsidR="006415A4">
        <w:rPr>
          <w:noProof/>
          <w:vertAlign w:val="superscript"/>
        </w:rPr>
        <w:t>[4]</w:t>
      </w:r>
      <w:r w:rsidR="00AD3942" w:rsidRPr="00C50376">
        <w:rPr>
          <w:vertAlign w:val="superscript"/>
        </w:rPr>
        <w:fldChar w:fldCharType="end"/>
      </w:r>
      <w:r w:rsidR="00AD3942">
        <w:t xml:space="preserve"> </w:t>
      </w:r>
    </w:p>
    <w:p w14:paraId="6DA95987" w14:textId="213A1C39" w:rsidR="0063712A" w:rsidRDefault="00E16732" w:rsidP="00C50376">
      <w:pPr>
        <w:pStyle w:val="ListParagraph"/>
        <w:numPr>
          <w:ilvl w:val="0"/>
          <w:numId w:val="17"/>
        </w:numPr>
      </w:pPr>
      <w:r>
        <w:t>Licensed firearms own</w:t>
      </w:r>
      <w:r w:rsidR="007068A4">
        <w:t>ers are overwhelmingly male (93 per cent</w:t>
      </w:r>
      <w:r>
        <w:t xml:space="preserve">), and there </w:t>
      </w:r>
      <w:r w:rsidR="00007E8C">
        <w:t xml:space="preserve">are </w:t>
      </w:r>
      <w:r>
        <w:t>more in o</w:t>
      </w:r>
      <w:r w:rsidR="005E6A5E">
        <w:t>lder age groups</w:t>
      </w:r>
      <w:r w:rsidR="00847E1B">
        <w:t>,</w:t>
      </w:r>
      <w:r w:rsidR="00007E8C">
        <w:t xml:space="preserve"> and more per capita in the South Island than the North</w:t>
      </w:r>
      <w:r w:rsidR="006415A4">
        <w:t xml:space="preserve"> Island</w:t>
      </w:r>
      <w:r>
        <w:t xml:space="preserve">. </w:t>
      </w:r>
    </w:p>
    <w:p w14:paraId="14DC80BD" w14:textId="77777777" w:rsidR="00E16732" w:rsidRDefault="0063712A" w:rsidP="00C50376">
      <w:pPr>
        <w:pStyle w:val="ListParagraph"/>
        <w:numPr>
          <w:ilvl w:val="0"/>
          <w:numId w:val="17"/>
        </w:numPr>
      </w:pPr>
      <w:r>
        <w:t xml:space="preserve">Little else </w:t>
      </w:r>
      <w:r w:rsidR="00E16732">
        <w:t>is known</w:t>
      </w:r>
      <w:r w:rsidR="005E6A5E">
        <w:t xml:space="preserve"> </w:t>
      </w:r>
      <w:r w:rsidR="00847E1B">
        <w:t>about licensed firearms owners;</w:t>
      </w:r>
      <w:r w:rsidR="00E16732">
        <w:t xml:space="preserve"> for example, </w:t>
      </w:r>
      <w:r w:rsidR="006415A4">
        <w:t xml:space="preserve">licence </w:t>
      </w:r>
      <w:r w:rsidR="00E16732">
        <w:t>applicants are not asked about their ethnicity.</w:t>
      </w:r>
    </w:p>
    <w:p w14:paraId="6A438D54" w14:textId="77777777" w:rsidR="0063712A" w:rsidRDefault="00E16732" w:rsidP="008B0B27">
      <w:pPr>
        <w:spacing w:after="0"/>
        <w:rPr>
          <w:b/>
        </w:rPr>
      </w:pPr>
      <w:r w:rsidRPr="00E16732">
        <w:rPr>
          <w:b/>
        </w:rPr>
        <w:lastRenderedPageBreak/>
        <w:t>How many firearms in New Zealand?</w:t>
      </w:r>
      <w:r>
        <w:rPr>
          <w:b/>
        </w:rPr>
        <w:t xml:space="preserve"> </w:t>
      </w:r>
    </w:p>
    <w:p w14:paraId="3C91B1F9" w14:textId="2F2103BB" w:rsidR="0063712A" w:rsidRDefault="006415A4" w:rsidP="00C50376">
      <w:pPr>
        <w:pStyle w:val="ListParagraph"/>
        <w:numPr>
          <w:ilvl w:val="0"/>
          <w:numId w:val="18"/>
        </w:numPr>
        <w:spacing w:after="0"/>
      </w:pPr>
      <w:r>
        <w:t>M</w:t>
      </w:r>
      <w:r w:rsidR="005E6A5E">
        <w:t xml:space="preserve">ilitary-style semi-automatics, pistols, and restricted weapons </w:t>
      </w:r>
      <w:r w:rsidR="00DD3F62">
        <w:t xml:space="preserve">must </w:t>
      </w:r>
      <w:r>
        <w:t>be registered. I</w:t>
      </w:r>
      <w:r w:rsidR="00710B15">
        <w:t xml:space="preserve">n </w:t>
      </w:r>
      <w:r w:rsidR="00C50376">
        <w:t>2018</w:t>
      </w:r>
      <w:r w:rsidR="00E16732">
        <w:t xml:space="preserve"> there </w:t>
      </w:r>
      <w:r w:rsidR="006C2123">
        <w:t xml:space="preserve">were 65,837 </w:t>
      </w:r>
      <w:r w:rsidR="005E6A5E">
        <w:t>of these</w:t>
      </w:r>
      <w:r w:rsidR="00C50376">
        <w:t xml:space="preserve"> types</w:t>
      </w:r>
      <w:r w:rsidR="00710B15" w:rsidRPr="00710B15">
        <w:rPr>
          <w:vertAlign w:val="superscript"/>
        </w:rPr>
        <w:fldChar w:fldCharType="begin"/>
      </w:r>
      <w:r>
        <w:rPr>
          <w:vertAlign w:val="superscript"/>
        </w:rPr>
        <w:instrText xml:space="preserve"> ADDIN EN.CITE &lt;EndNote&gt;&lt;Cite&gt;&lt;Author&gt;Scahill&lt;/Author&gt;&lt;Year&gt;2018, 29 November&lt;/Year&gt;&lt;RecNum&gt;273&lt;/RecNum&gt;&lt;DisplayText&gt;[4]&lt;/DisplayText&gt;&lt;record&gt;&lt;rec-number&gt;273&lt;/rec-number&gt;&lt;foreign-keys&gt;&lt;key app="EN" db-id="rfpw52atcxw998esway5r02srws0s0r5r2xd" timestamp="1553813604"&gt;273&lt;/key&gt;&lt;/foreign-keys&gt;&lt;ref-type name="Government Document"&gt;46&lt;/ref-type&gt;&lt;contributors&gt;&lt;authors&gt;&lt;author&gt;Scahill, Chris&lt;/author&gt;&lt;/authors&gt;&lt;secondary-authors&gt;&lt;author&gt;New Zealand Police,&lt;/author&gt;&lt;/secondary-authors&gt;&lt;/contributors&gt;&lt;titles&gt;&lt;title&gt;Official Information Act Disclosure IR-01-18-11101, http//www.police.govt.nz/sites/default/files/publications/14-sep-2018-ir-01-18-11101.pdf&lt;/title&gt;&lt;/titles&gt;&lt;dates&gt;&lt;year&gt;2018, 29 November&lt;/year&gt;&lt;/dates&gt;&lt;pub-location&gt;Wellington&lt;/pub-location&gt;&lt;urls&gt;&lt;/urls&gt;&lt;/record&gt;&lt;/Cite&gt;&lt;/EndNote&gt;</w:instrText>
      </w:r>
      <w:r w:rsidR="00710B15" w:rsidRPr="00710B15">
        <w:rPr>
          <w:vertAlign w:val="superscript"/>
        </w:rPr>
        <w:fldChar w:fldCharType="separate"/>
      </w:r>
      <w:r>
        <w:rPr>
          <w:noProof/>
          <w:vertAlign w:val="superscript"/>
        </w:rPr>
        <w:t>[4]</w:t>
      </w:r>
      <w:r w:rsidR="00710B15" w:rsidRPr="00710B15">
        <w:rPr>
          <w:vertAlign w:val="superscript"/>
        </w:rPr>
        <w:fldChar w:fldCharType="end"/>
      </w:r>
      <w:r w:rsidR="00710B15">
        <w:t xml:space="preserve"> </w:t>
      </w:r>
      <w:r w:rsidR="000F0E5E">
        <w:t>owned by</w:t>
      </w:r>
      <w:r w:rsidR="00C50376">
        <w:t xml:space="preserve"> 9,772</w:t>
      </w:r>
      <w:r w:rsidR="00521B05" w:rsidRPr="00521B05">
        <w:rPr>
          <w:vertAlign w:val="superscript"/>
        </w:rPr>
        <w:fldChar w:fldCharType="begin"/>
      </w:r>
      <w:r>
        <w:rPr>
          <w:vertAlign w:val="superscript"/>
        </w:rPr>
        <w:instrText xml:space="preserve"> ADDIN EN.CITE &lt;EndNote&gt;&lt;Cite&gt;&lt;Author&gt;McIlraith&lt;/Author&gt;&lt;Year&gt;2018, 7 March&lt;/Year&gt;&lt;RecNum&gt;281&lt;/RecNum&gt;&lt;DisplayText&gt;[5]&lt;/DisplayText&gt;&lt;record&gt;&lt;rec-number&gt;281&lt;/rec-number&gt;&lt;foreign-keys&gt;&lt;key app="EN" db-id="rfpw52atcxw998esway5r02srws0s0r5r2xd" timestamp="1554068033"&gt;281&lt;/key&gt;&lt;/foreign-keys&gt;&lt;ref-type name="Government Document"&gt;46&lt;/ref-type&gt;&lt;contributors&gt;&lt;authors&gt;&lt;author&gt;McIlraith, Mike&lt;/author&gt;&lt;/authors&gt;&lt;secondary-authors&gt;&lt;author&gt;New Zealand Police,&lt;/author&gt;&lt;/secondary-authors&gt;&lt;/contributors&gt;&lt;titles&gt;&lt;title&gt;Official Information Act Disclosure, 16/7782/118 https://www.police.govt.nz/sites/default/files/publications/16-7782-118.pdf &lt;/title&gt;&lt;/titles&gt;&lt;dates&gt;&lt;year&gt;2018, 7 March&lt;/year&gt;&lt;/dates&gt;&lt;pub-location&gt;Wellington&lt;/pub-location&gt;&lt;urls&gt;&lt;/urls&gt;&lt;/record&gt;&lt;/Cite&gt;&lt;/EndNote&gt;</w:instrText>
      </w:r>
      <w:r w:rsidR="00521B05" w:rsidRPr="00521B05">
        <w:rPr>
          <w:vertAlign w:val="superscript"/>
        </w:rPr>
        <w:fldChar w:fldCharType="separate"/>
      </w:r>
      <w:r>
        <w:rPr>
          <w:noProof/>
          <w:vertAlign w:val="superscript"/>
        </w:rPr>
        <w:t>[5]</w:t>
      </w:r>
      <w:r w:rsidR="00521B05" w:rsidRPr="00521B05">
        <w:rPr>
          <w:vertAlign w:val="superscript"/>
        </w:rPr>
        <w:fldChar w:fldCharType="end"/>
      </w:r>
      <w:r w:rsidR="00C50376">
        <w:t xml:space="preserve"> licensed owners. </w:t>
      </w:r>
    </w:p>
    <w:p w14:paraId="3C656ADC" w14:textId="3B83FC9A" w:rsidR="006415A4" w:rsidRDefault="0063712A" w:rsidP="00C50376">
      <w:pPr>
        <w:pStyle w:val="ListParagraph"/>
        <w:numPr>
          <w:ilvl w:val="0"/>
          <w:numId w:val="18"/>
        </w:numPr>
        <w:spacing w:after="0"/>
      </w:pPr>
      <w:r>
        <w:t>Most of these are</w:t>
      </w:r>
      <w:r w:rsidR="00C7133E">
        <w:t xml:space="preserve"> handgun</w:t>
      </w:r>
      <w:r w:rsidR="00AD3942">
        <w:t>s</w:t>
      </w:r>
      <w:r w:rsidR="00FB03D2">
        <w:t xml:space="preserve"> (pistols and revolvers)</w:t>
      </w:r>
      <w:r w:rsidR="00AD3942">
        <w:t>: 41,253</w:t>
      </w:r>
      <w:r w:rsidR="00AD3942" w:rsidRPr="00C50376">
        <w:rPr>
          <w:vertAlign w:val="superscript"/>
        </w:rPr>
        <w:fldChar w:fldCharType="begin"/>
      </w:r>
      <w:r w:rsidR="006415A4">
        <w:rPr>
          <w:vertAlign w:val="superscript"/>
        </w:rPr>
        <w:instrText xml:space="preserve"> ADDIN EN.CITE &lt;EndNote&gt;&lt;Cite&gt;&lt;Author&gt;McIlraith&lt;/Author&gt;&lt;Year&gt;2018,  29 November&lt;/Year&gt;&lt;RecNum&gt;272&lt;/RecNum&gt;&lt;DisplayText&gt;[6]&lt;/DisplayText&gt;&lt;record&gt;&lt;rec-number&gt;272&lt;/rec-number&gt;&lt;foreign-keys&gt;&lt;key app="EN" db-id="rfpw52atcxw998esway5r02srws0s0r5r2xd" timestamp="1553813112"&gt;272&lt;/key&gt;&lt;/foreign-keys&gt;&lt;ref-type name="Government Document"&gt;46&lt;/ref-type&gt;&lt;contributors&gt;&lt;authors&gt;&lt;author&gt;McIlraith, Mike&lt;/author&gt;&lt;/authors&gt;&lt;secondary-authors&gt;&lt;author&gt;New Zealand Police, &lt;/author&gt;&lt;/secondary-authors&gt;&lt;/contributors&gt;&lt;titles&gt;&lt;title&gt;Official Information Act Disclosure  IR-01-18-12383  https://www.police.govt.nz/sites/default/files/publications/26-sep-2018-ir-01-18-12383.pdf &lt;/title&gt;&lt;/titles&gt;&lt;dates&gt;&lt;year&gt;2018,  29 November&lt;/year&gt;&lt;/dates&gt;&lt;pub-location&gt;Wellington&lt;/pub-location&gt;&lt;accession-num&gt;19 March 2019&lt;/accession-num&gt;&lt;urls&gt;&lt;related-urls&gt;&lt;url&gt;https://www.police.govt.nz/sites/default/files/publications/26-sep-2018-ir-01-18-12383.pdf &lt;/url&gt;&lt;/related-urls&gt;&lt;/urls&gt;&lt;/record&gt;&lt;/Cite&gt;&lt;/EndNote&gt;</w:instrText>
      </w:r>
      <w:r w:rsidR="00AD3942" w:rsidRPr="00C50376">
        <w:rPr>
          <w:vertAlign w:val="superscript"/>
        </w:rPr>
        <w:fldChar w:fldCharType="separate"/>
      </w:r>
      <w:r w:rsidR="006415A4">
        <w:rPr>
          <w:noProof/>
          <w:vertAlign w:val="superscript"/>
        </w:rPr>
        <w:t>[6]</w:t>
      </w:r>
      <w:r w:rsidR="00AD3942" w:rsidRPr="00C50376">
        <w:rPr>
          <w:vertAlign w:val="superscript"/>
        </w:rPr>
        <w:fldChar w:fldCharType="end"/>
      </w:r>
      <w:r w:rsidR="00847E1B">
        <w:t xml:space="preserve"> </w:t>
      </w:r>
    </w:p>
    <w:p w14:paraId="19C145C1" w14:textId="77777777" w:rsidR="000F0E5E" w:rsidRDefault="006415A4" w:rsidP="00C50376">
      <w:pPr>
        <w:pStyle w:val="ListParagraph"/>
        <w:numPr>
          <w:ilvl w:val="0"/>
          <w:numId w:val="18"/>
        </w:numPr>
        <w:spacing w:after="0"/>
      </w:pPr>
      <w:r>
        <w:t xml:space="preserve">Other than these registered firearms, </w:t>
      </w:r>
      <w:r w:rsidR="005E6A5E">
        <w:t>no one knows</w:t>
      </w:r>
      <w:r w:rsidR="004E2732">
        <w:t xml:space="preserve"> how many </w:t>
      </w:r>
      <w:r w:rsidR="004E2732" w:rsidRPr="007C42E3">
        <w:t xml:space="preserve">there are in New Zealand. </w:t>
      </w:r>
    </w:p>
    <w:p w14:paraId="269DA9B3" w14:textId="25C6A1B7" w:rsidR="00521B05" w:rsidRDefault="004E2732" w:rsidP="00C50376">
      <w:pPr>
        <w:pStyle w:val="ListParagraph"/>
        <w:numPr>
          <w:ilvl w:val="0"/>
          <w:numId w:val="18"/>
        </w:numPr>
      </w:pPr>
      <w:r w:rsidRPr="007C42E3">
        <w:t>Police base their</w:t>
      </w:r>
      <w:r w:rsidR="007C42E3">
        <w:t xml:space="preserve"> est</w:t>
      </w:r>
      <w:r w:rsidR="00DD3F62">
        <w:t>imate of 1.2 million firearms at</w:t>
      </w:r>
      <w:r w:rsidR="007C42E3">
        <w:t xml:space="preserve"> 2014</w:t>
      </w:r>
      <w:r w:rsidR="007C42E3" w:rsidRPr="00C50376">
        <w:rPr>
          <w:vertAlign w:val="superscript"/>
        </w:rPr>
        <w:fldChar w:fldCharType="begin"/>
      </w:r>
      <w:r w:rsidR="006415A4">
        <w:rPr>
          <w:vertAlign w:val="superscript"/>
        </w:rPr>
        <w:instrText xml:space="preserve"> ADDIN EN.CITE &lt;EndNote&gt;&lt;Cite&gt;&lt;Author&gt;Scahill&lt;/Author&gt;&lt;Year&gt;2018, 29 November&lt;/Year&gt;&lt;RecNum&gt;273&lt;/RecNum&gt;&lt;DisplayText&gt;[4]&lt;/DisplayText&gt;&lt;record&gt;&lt;rec-number&gt;273&lt;/rec-number&gt;&lt;foreign-keys&gt;&lt;key app="EN" db-id="rfpw52atcxw998esway5r02srws0s0r5r2xd" timestamp="1553813604"&gt;273&lt;/key&gt;&lt;/foreign-keys&gt;&lt;ref-type name="Government Document"&gt;46&lt;/ref-type&gt;&lt;contributors&gt;&lt;authors&gt;&lt;author&gt;Scahill, Chris&lt;/author&gt;&lt;/authors&gt;&lt;secondary-authors&gt;&lt;author&gt;New Zealand Police,&lt;/author&gt;&lt;/secondary-authors&gt;&lt;/contributors&gt;&lt;titles&gt;&lt;title&gt;Official Information Act Disclosure IR-01-18-11101, http//www.police.govt.nz/sites/default/files/publications/14-sep-2018-ir-01-18-11101.pdf&lt;/title&gt;&lt;/titles&gt;&lt;dates&gt;&lt;year&gt;2018, 29 November&lt;/year&gt;&lt;/dates&gt;&lt;pub-location&gt;Wellington&lt;/pub-location&gt;&lt;urls&gt;&lt;/urls&gt;&lt;/record&gt;&lt;/Cite&gt;&lt;/EndNote&gt;</w:instrText>
      </w:r>
      <w:r w:rsidR="007C42E3" w:rsidRPr="00C50376">
        <w:rPr>
          <w:vertAlign w:val="superscript"/>
        </w:rPr>
        <w:fldChar w:fldCharType="separate"/>
      </w:r>
      <w:r w:rsidR="006415A4">
        <w:rPr>
          <w:noProof/>
          <w:vertAlign w:val="superscript"/>
        </w:rPr>
        <w:t>[4]</w:t>
      </w:r>
      <w:r w:rsidR="007C42E3" w:rsidRPr="00C50376">
        <w:rPr>
          <w:vertAlign w:val="superscript"/>
        </w:rPr>
        <w:fldChar w:fldCharType="end"/>
      </w:r>
      <w:r w:rsidR="007C42E3">
        <w:t xml:space="preserve"> </w:t>
      </w:r>
      <w:r>
        <w:t xml:space="preserve">on the estimate by Justice Thomas Thorp in his </w:t>
      </w:r>
      <w:hyperlink r:id="rId13" w:history="1">
        <w:r w:rsidRPr="004E2732">
          <w:rPr>
            <w:rStyle w:val="Hyperlink"/>
          </w:rPr>
          <w:t>1997 report</w:t>
        </w:r>
      </w:hyperlink>
      <w:r w:rsidR="007C42E3">
        <w:rPr>
          <w:rStyle w:val="Hyperlink"/>
        </w:rPr>
        <w:t>.</w:t>
      </w:r>
      <w:r w:rsidR="007C42E3" w:rsidRPr="00C50376">
        <w:rPr>
          <w:vertAlign w:val="superscript"/>
        </w:rPr>
        <w:fldChar w:fldCharType="begin"/>
      </w:r>
      <w:r w:rsidR="006415A4">
        <w:rPr>
          <w:vertAlign w:val="superscript"/>
        </w:rPr>
        <w:instrText xml:space="preserve"> ADDIN EN.CITE &lt;EndNote&gt;&lt;Cite&gt;&lt;Author&gt;Thorp&lt;/Author&gt;&lt;Year&gt;1997&lt;/Year&gt;&lt;RecNum&gt;126&lt;/RecNum&gt;&lt;DisplayText&gt;[7]&lt;/DisplayText&gt;&lt;record&gt;&lt;rec-number&gt;126&lt;/rec-number&gt;&lt;foreign-keys&gt;&lt;key app="EN" db-id="rfpw52atcxw998esway5r02srws0s0r5r2xd" timestamp="1485480418"&gt;126&lt;/key&gt;&lt;/foreign-keys&gt;&lt;ref-type name="Report"&gt;27&lt;/ref-type&gt;&lt;contributors&gt;&lt;authors&gt;&lt;author&gt;Thorp, Thomas M&lt;/author&gt;&lt;/authors&gt;&lt;/contributors&gt;&lt;titles&gt;&lt;title&gt;Review of firearms control in New Zealand: Report of an independent inquiry commissioned by the Minister of Police&lt;/title&gt;&lt;/titles&gt;&lt;dates&gt;&lt;year&gt;1997&lt;/year&gt;&lt;/dates&gt;&lt;pub-location&gt;Wellington&lt;/pub-location&gt;&lt;publisher&gt;GP Print&lt;/publisher&gt;&lt;urls&gt;&lt;/urls&gt;&lt;/record&gt;&lt;/Cite&gt;&lt;/EndNote&gt;</w:instrText>
      </w:r>
      <w:r w:rsidR="007C42E3" w:rsidRPr="00C50376">
        <w:rPr>
          <w:vertAlign w:val="superscript"/>
        </w:rPr>
        <w:fldChar w:fldCharType="separate"/>
      </w:r>
      <w:r w:rsidR="006415A4">
        <w:rPr>
          <w:noProof/>
          <w:vertAlign w:val="superscript"/>
        </w:rPr>
        <w:t>[7]</w:t>
      </w:r>
      <w:r w:rsidR="007C42E3" w:rsidRPr="00C50376">
        <w:rPr>
          <w:vertAlign w:val="superscript"/>
        </w:rPr>
        <w:fldChar w:fldCharType="end"/>
      </w:r>
      <w:r w:rsidR="007C42E3">
        <w:t xml:space="preserve"> </w:t>
      </w:r>
      <w:r>
        <w:t xml:space="preserve">Thorp’s estimate of </w:t>
      </w:r>
      <w:r w:rsidR="007F4BFC" w:rsidRPr="00720985">
        <w:t>New Zealand’s civilian armoury</w:t>
      </w:r>
      <w:r w:rsidR="00631288">
        <w:t xml:space="preserve"> in 1997</w:t>
      </w:r>
      <w:r w:rsidR="007F4BFC" w:rsidRPr="00720985">
        <w:t xml:space="preserve"> </w:t>
      </w:r>
      <w:r w:rsidR="00631288">
        <w:t>was between 700,000 and</w:t>
      </w:r>
      <w:r w:rsidR="00FA4B7A">
        <w:t xml:space="preserve"> one</w:t>
      </w:r>
      <w:r w:rsidR="00631288">
        <w:t xml:space="preserve"> million</w:t>
      </w:r>
      <w:r w:rsidR="00AF6C9A">
        <w:t xml:space="preserve"> firearms</w:t>
      </w:r>
      <w:r w:rsidR="007F4BFC" w:rsidRPr="00720985">
        <w:t xml:space="preserve">. </w:t>
      </w:r>
      <w:r>
        <w:t xml:space="preserve">We have heard recent estimates by firearms owners of </w:t>
      </w:r>
      <w:r w:rsidRPr="00720985">
        <w:t>1.5</w:t>
      </w:r>
      <w:r w:rsidR="00847E1B">
        <w:t>m</w:t>
      </w:r>
      <w:r w:rsidRPr="00720985">
        <w:t xml:space="preserve"> </w:t>
      </w:r>
      <w:r w:rsidR="00847E1B">
        <w:t>or 1.7</w:t>
      </w:r>
      <w:r w:rsidRPr="00720985">
        <w:t>m to 3</w:t>
      </w:r>
      <w:r w:rsidR="00847E1B">
        <w:t>m</w:t>
      </w:r>
      <w:r w:rsidRPr="00720985">
        <w:t xml:space="preserve"> or</w:t>
      </w:r>
      <w:r>
        <w:t xml:space="preserve"> even</w:t>
      </w:r>
      <w:r w:rsidR="00847E1B">
        <w:t xml:space="preserve"> 4</w:t>
      </w:r>
      <w:r w:rsidRPr="00720985">
        <w:t>m firearms including air rifles.</w:t>
      </w:r>
      <w:r w:rsidR="00694C60">
        <w:t xml:space="preserve"> </w:t>
      </w:r>
    </w:p>
    <w:p w14:paraId="0983EE6E" w14:textId="77777777" w:rsidR="004E2732" w:rsidRDefault="00C7133E" w:rsidP="00C50376">
      <w:pPr>
        <w:pStyle w:val="ListParagraph"/>
        <w:numPr>
          <w:ilvl w:val="0"/>
          <w:numId w:val="18"/>
        </w:numPr>
      </w:pPr>
      <w:r>
        <w:t>The number of illegally held firearms is also unknown.</w:t>
      </w:r>
    </w:p>
    <w:p w14:paraId="255EA07E" w14:textId="77777777" w:rsidR="001E7770" w:rsidRDefault="00CA139E" w:rsidP="00521B05">
      <w:pPr>
        <w:spacing w:after="0"/>
        <w:rPr>
          <w:b/>
        </w:rPr>
      </w:pPr>
      <w:r w:rsidRPr="00CA139E">
        <w:rPr>
          <w:b/>
        </w:rPr>
        <w:t>Importation of firearms</w:t>
      </w:r>
    </w:p>
    <w:p w14:paraId="3A3FD3E5" w14:textId="77777777" w:rsidR="000F0E5E" w:rsidRPr="00521B05" w:rsidRDefault="001B25A0" w:rsidP="00521B05">
      <w:pPr>
        <w:spacing w:after="0"/>
        <w:rPr>
          <w:b/>
          <w:u w:val="single"/>
        </w:rPr>
      </w:pPr>
      <w:r>
        <w:t>New Zealand Customs Service</w:t>
      </w:r>
      <w:r w:rsidR="00AF6C9A">
        <w:t xml:space="preserve"> listed</w:t>
      </w:r>
      <w:r>
        <w:t xml:space="preserve"> the </w:t>
      </w:r>
      <w:r w:rsidR="000055F6">
        <w:t xml:space="preserve">numbers of shotguns, rifles and airguns imported from </w:t>
      </w:r>
      <w:r w:rsidR="0033141A">
        <w:t>2008</w:t>
      </w:r>
      <w:r w:rsidR="000055F6">
        <w:t xml:space="preserve"> to 201</w:t>
      </w:r>
      <w:r w:rsidR="0033141A">
        <w:t>6</w:t>
      </w:r>
      <w:r w:rsidR="000055F6">
        <w:t>.</w:t>
      </w:r>
      <w:r w:rsidR="00407020" w:rsidRPr="00521B05">
        <w:rPr>
          <w:vertAlign w:val="superscript"/>
        </w:rPr>
        <w:fldChar w:fldCharType="begin"/>
      </w:r>
      <w:r w:rsidR="006415A4">
        <w:rPr>
          <w:vertAlign w:val="superscript"/>
        </w:rPr>
        <w:instrText xml:space="preserve"> ADDIN EN.CITE &lt;EndNote&gt;&lt;Cite&gt;&lt;Author&gt;New Zealand Customs Service&lt;/Author&gt;&lt;Year&gt;2016&lt;/Year&gt;&lt;RecNum&gt;251&lt;/RecNum&gt;&lt;DisplayText&gt;[8]&lt;/DisplayText&gt;&lt;record&gt;&lt;rec-number&gt;251&lt;/rec-number&gt;&lt;foreign-keys&gt;&lt;key app="EN" db-id="rfpw52atcxw998esway5r02srws0s0r5r2xd" timestamp="1532406205"&gt;251&lt;/key&gt;&lt;/foreign-keys&gt;&lt;ref-type name="Report"&gt;27&lt;/ref-type&gt;&lt;contributors&gt;&lt;authors&gt;&lt;author&gt;New Zealand Customs Service,&lt;/author&gt;&lt;/authors&gt;&lt;/contributors&gt;&lt;titles&gt;&lt;title&gt;Inquiry on Illicit Firearms: Customs presentation to the Law and Order Select Committee&lt;/title&gt;&lt;/titles&gt;&lt;dates&gt;&lt;year&gt;2016&lt;/year&gt;&lt;pub-dates&gt;&lt;date&gt;8 June&lt;/date&gt;&lt;/pub-dates&gt;&lt;/dates&gt;&lt;urls&gt;&lt;/urls&gt;&lt;/record&gt;&lt;/Cite&gt;&lt;/EndNote&gt;</w:instrText>
      </w:r>
      <w:r w:rsidR="00407020" w:rsidRPr="00521B05">
        <w:rPr>
          <w:vertAlign w:val="superscript"/>
        </w:rPr>
        <w:fldChar w:fldCharType="separate"/>
      </w:r>
      <w:r w:rsidR="006415A4">
        <w:rPr>
          <w:noProof/>
          <w:vertAlign w:val="superscript"/>
        </w:rPr>
        <w:t>[8]</w:t>
      </w:r>
      <w:r w:rsidR="00407020" w:rsidRPr="00521B05">
        <w:rPr>
          <w:vertAlign w:val="superscript"/>
        </w:rPr>
        <w:fldChar w:fldCharType="end"/>
      </w:r>
      <w:r w:rsidR="000055F6">
        <w:t xml:space="preserve"> </w:t>
      </w:r>
    </w:p>
    <w:p w14:paraId="3DB0D507" w14:textId="77777777" w:rsidR="000F0E5E" w:rsidRPr="00521B05" w:rsidRDefault="000F0E5E" w:rsidP="00521B05">
      <w:pPr>
        <w:pStyle w:val="ListParagraph"/>
        <w:numPr>
          <w:ilvl w:val="0"/>
          <w:numId w:val="19"/>
        </w:numPr>
        <w:rPr>
          <w:b/>
          <w:u w:val="single"/>
        </w:rPr>
      </w:pPr>
      <w:r>
        <w:t>O</w:t>
      </w:r>
      <w:r w:rsidR="0033141A">
        <w:t>ver</w:t>
      </w:r>
      <w:r w:rsidR="00FD1234" w:rsidRPr="001D4AD6">
        <w:t xml:space="preserve"> the nine years, 69,621 shotgun</w:t>
      </w:r>
      <w:r w:rsidR="006C2123">
        <w:t>s</w:t>
      </w:r>
      <w:r w:rsidR="00FD1234" w:rsidRPr="001D4AD6">
        <w:t xml:space="preserve"> </w:t>
      </w:r>
      <w:r w:rsidR="006C2123">
        <w:t xml:space="preserve">and </w:t>
      </w:r>
      <w:r w:rsidR="00FD1234" w:rsidRPr="001D4AD6">
        <w:t>171,787 rifles</w:t>
      </w:r>
      <w:r w:rsidR="006C2123">
        <w:t xml:space="preserve"> </w:t>
      </w:r>
      <w:r w:rsidR="006C2123" w:rsidRPr="001D4AD6">
        <w:t>were imported</w:t>
      </w:r>
      <w:r w:rsidR="001D4AD6" w:rsidRPr="001D4AD6">
        <w:t xml:space="preserve">, a total of </w:t>
      </w:r>
      <w:r w:rsidR="001D4AD6" w:rsidRPr="00521B05">
        <w:rPr>
          <w:rFonts w:ascii="Calibri" w:eastAsia="Times New Roman" w:hAnsi="Calibri" w:cs="Times New Roman"/>
          <w:color w:val="000000"/>
          <w:lang w:eastAsia="en-NZ"/>
        </w:rPr>
        <w:t>241,408</w:t>
      </w:r>
      <w:r w:rsidR="006C2123" w:rsidRPr="00521B05">
        <w:rPr>
          <w:rFonts w:ascii="Calibri" w:eastAsia="Times New Roman" w:hAnsi="Calibri" w:cs="Times New Roman"/>
          <w:color w:val="000000"/>
          <w:lang w:eastAsia="en-NZ"/>
        </w:rPr>
        <w:t xml:space="preserve"> firearms</w:t>
      </w:r>
      <w:r w:rsidRPr="00521B05">
        <w:rPr>
          <w:rFonts w:ascii="Calibri" w:eastAsia="Times New Roman" w:hAnsi="Calibri" w:cs="Times New Roman"/>
          <w:color w:val="000000"/>
          <w:lang w:eastAsia="en-NZ"/>
        </w:rPr>
        <w:t xml:space="preserve"> (</w:t>
      </w:r>
      <w:r w:rsidR="00016751">
        <w:rPr>
          <w:rFonts w:ascii="Calibri" w:eastAsia="Times New Roman" w:hAnsi="Calibri" w:cs="Times New Roman"/>
          <w:color w:val="000000"/>
          <w:lang w:eastAsia="en-NZ"/>
        </w:rPr>
        <w:t xml:space="preserve">Table </w:t>
      </w:r>
      <w:r w:rsidR="00016751">
        <w:t>2</w:t>
      </w:r>
      <w:r w:rsidRPr="00521B05">
        <w:t>).</w:t>
      </w:r>
      <w:r>
        <w:t xml:space="preserve"> </w:t>
      </w:r>
      <w:r w:rsidR="003A0F6F" w:rsidRPr="00521B05">
        <w:rPr>
          <w:rFonts w:ascii="Calibri" w:eastAsia="Times New Roman" w:hAnsi="Calibri" w:cs="Times New Roman"/>
          <w:color w:val="000000"/>
          <w:lang w:eastAsia="en-NZ"/>
        </w:rPr>
        <w:t xml:space="preserve"> </w:t>
      </w:r>
    </w:p>
    <w:p w14:paraId="43E94968" w14:textId="77777777" w:rsidR="000F0E5E" w:rsidRPr="00521B05" w:rsidRDefault="003A0F6F" w:rsidP="00521B05">
      <w:pPr>
        <w:pStyle w:val="ListParagraph"/>
        <w:numPr>
          <w:ilvl w:val="0"/>
          <w:numId w:val="19"/>
        </w:numPr>
        <w:rPr>
          <w:b/>
          <w:u w:val="single"/>
        </w:rPr>
      </w:pPr>
      <w:r w:rsidRPr="00521B05">
        <w:rPr>
          <w:rFonts w:ascii="Calibri" w:eastAsia="Times New Roman" w:hAnsi="Calibri" w:cs="Times New Roman"/>
          <w:color w:val="000000"/>
          <w:lang w:eastAsia="en-NZ"/>
        </w:rPr>
        <w:t>I</w:t>
      </w:r>
      <w:r w:rsidR="001D4AD6" w:rsidRPr="00521B05">
        <w:rPr>
          <w:rFonts w:ascii="Calibri" w:eastAsia="Times New Roman" w:hAnsi="Calibri" w:cs="Times New Roman"/>
          <w:color w:val="000000"/>
          <w:lang w:eastAsia="en-NZ"/>
        </w:rPr>
        <w:t xml:space="preserve">f the </w:t>
      </w:r>
      <w:r w:rsidR="00FD1234" w:rsidRPr="001D4AD6">
        <w:t>229,319 airguns</w:t>
      </w:r>
      <w:r w:rsidR="001D4AD6" w:rsidRPr="001D4AD6">
        <w:t>, i</w:t>
      </w:r>
      <w:r w:rsidR="001D4AD6">
        <w:t>.</w:t>
      </w:r>
      <w:r w:rsidR="001D4AD6" w:rsidRPr="001D4AD6">
        <w:t xml:space="preserve">e. </w:t>
      </w:r>
      <w:r w:rsidR="001D4AD6">
        <w:t>t</w:t>
      </w:r>
      <w:r w:rsidR="001D4AD6" w:rsidRPr="001D4AD6">
        <w:t xml:space="preserve">hose arms operated by </w:t>
      </w:r>
      <w:r w:rsidR="00DD3491">
        <w:t xml:space="preserve">air </w:t>
      </w:r>
      <w:r w:rsidR="001D4AD6" w:rsidRPr="00521B05">
        <w:rPr>
          <w:rFonts w:ascii="Calibri" w:eastAsia="Times New Roman" w:hAnsi="Calibri" w:cs="Times New Roman"/>
          <w:color w:val="000000"/>
          <w:lang w:eastAsia="en-NZ"/>
        </w:rPr>
        <w:t>compression</w:t>
      </w:r>
      <w:r w:rsidR="00DD3491" w:rsidRPr="00521B05">
        <w:rPr>
          <w:rFonts w:ascii="Calibri" w:eastAsia="Times New Roman" w:hAnsi="Calibri" w:cs="Times New Roman"/>
          <w:color w:val="000000"/>
          <w:lang w:eastAsia="en-NZ"/>
        </w:rPr>
        <w:t xml:space="preserve"> or gas</w:t>
      </w:r>
      <w:r w:rsidR="001D4AD6" w:rsidRPr="00521B05">
        <w:rPr>
          <w:rFonts w:ascii="Calibri" w:eastAsia="Times New Roman" w:hAnsi="Calibri" w:cs="Times New Roman"/>
          <w:color w:val="000000"/>
          <w:lang w:eastAsia="en-NZ"/>
        </w:rPr>
        <w:t xml:space="preserve"> rather than explosion,</w:t>
      </w:r>
      <w:r w:rsidR="006C2123" w:rsidRPr="00521B05">
        <w:rPr>
          <w:rFonts w:ascii="Calibri" w:eastAsia="Times New Roman" w:hAnsi="Calibri" w:cs="Times New Roman"/>
          <w:color w:val="000000"/>
          <w:lang w:eastAsia="en-NZ"/>
        </w:rPr>
        <w:t xml:space="preserve"> </w:t>
      </w:r>
      <w:r w:rsidR="006C2123" w:rsidRPr="001D4AD6">
        <w:t>are included</w:t>
      </w:r>
      <w:r w:rsidR="006C2123">
        <w:t>,</w:t>
      </w:r>
      <w:r w:rsidR="001D4AD6" w:rsidRPr="00521B05">
        <w:rPr>
          <w:rFonts w:ascii="Calibri" w:eastAsia="Times New Roman" w:hAnsi="Calibri" w:cs="Times New Roman"/>
          <w:color w:val="000000"/>
          <w:lang w:eastAsia="en-NZ"/>
        </w:rPr>
        <w:t xml:space="preserve"> the total was 474,847</w:t>
      </w:r>
      <w:r w:rsidR="000F0E5E" w:rsidRPr="00521B05">
        <w:rPr>
          <w:rFonts w:ascii="Calibri" w:eastAsia="Times New Roman" w:hAnsi="Calibri" w:cs="Times New Roman"/>
          <w:color w:val="000000"/>
          <w:lang w:eastAsia="en-NZ"/>
        </w:rPr>
        <w:t xml:space="preserve"> over the nine years</w:t>
      </w:r>
      <w:r w:rsidR="001D4AD6" w:rsidRPr="00521B05">
        <w:rPr>
          <w:rFonts w:ascii="Calibri" w:eastAsia="Times New Roman" w:hAnsi="Calibri" w:cs="Times New Roman"/>
          <w:color w:val="000000"/>
          <w:lang w:eastAsia="en-NZ"/>
        </w:rPr>
        <w:t>.</w:t>
      </w:r>
    </w:p>
    <w:p w14:paraId="67B1E8C8" w14:textId="386CBF85" w:rsidR="000F0E5E" w:rsidRPr="00521B05" w:rsidRDefault="00FA4B7A" w:rsidP="00521B05">
      <w:pPr>
        <w:pStyle w:val="ListParagraph"/>
        <w:numPr>
          <w:ilvl w:val="0"/>
          <w:numId w:val="19"/>
        </w:numPr>
        <w:rPr>
          <w:b/>
          <w:u w:val="single"/>
        </w:rPr>
      </w:pPr>
      <w:r>
        <w:rPr>
          <w:rFonts w:ascii="Calibri" w:eastAsia="Times New Roman" w:hAnsi="Calibri" w:cs="Times New Roman"/>
          <w:color w:val="000000"/>
          <w:lang w:eastAsia="en-NZ"/>
        </w:rPr>
        <w:t>The import system requires p</w:t>
      </w:r>
      <w:r w:rsidR="001D4AD6" w:rsidRPr="00521B05">
        <w:rPr>
          <w:rFonts w:ascii="Calibri" w:eastAsia="Times New Roman" w:hAnsi="Calibri" w:cs="Times New Roman"/>
          <w:color w:val="000000"/>
          <w:lang w:eastAsia="en-NZ"/>
        </w:rPr>
        <w:t xml:space="preserve">olice to </w:t>
      </w:r>
      <w:r w:rsidR="00007E8C" w:rsidRPr="00521B05">
        <w:rPr>
          <w:rFonts w:ascii="Calibri" w:eastAsia="Times New Roman" w:hAnsi="Calibri" w:cs="Times New Roman"/>
          <w:color w:val="000000"/>
          <w:lang w:eastAsia="en-NZ"/>
        </w:rPr>
        <w:t>check</w:t>
      </w:r>
      <w:r w:rsidR="006C2123" w:rsidRPr="00521B05">
        <w:rPr>
          <w:rFonts w:ascii="Calibri" w:eastAsia="Times New Roman" w:hAnsi="Calibri" w:cs="Times New Roman"/>
          <w:color w:val="000000"/>
          <w:lang w:eastAsia="en-NZ"/>
        </w:rPr>
        <w:t xml:space="preserve"> owners’ and dealers’ licences against the orders</w:t>
      </w:r>
      <w:r w:rsidR="00007E8C" w:rsidRPr="00521B05">
        <w:rPr>
          <w:rFonts w:ascii="Calibri" w:eastAsia="Times New Roman" w:hAnsi="Calibri" w:cs="Times New Roman"/>
          <w:color w:val="000000"/>
          <w:lang w:eastAsia="en-NZ"/>
        </w:rPr>
        <w:t xml:space="preserve"> and sign</w:t>
      </w:r>
      <w:r w:rsidR="0033141A" w:rsidRPr="00521B05">
        <w:rPr>
          <w:rFonts w:ascii="Calibri" w:eastAsia="Times New Roman" w:hAnsi="Calibri" w:cs="Times New Roman"/>
          <w:color w:val="000000"/>
          <w:lang w:eastAsia="en-NZ"/>
        </w:rPr>
        <w:t xml:space="preserve"> them off. </w:t>
      </w:r>
      <w:r w:rsidR="00CE0829">
        <w:rPr>
          <w:rFonts w:ascii="Calibri" w:eastAsia="Times New Roman" w:hAnsi="Calibri" w:cs="Times New Roman"/>
          <w:color w:val="000000"/>
          <w:lang w:eastAsia="en-NZ"/>
        </w:rPr>
        <w:t xml:space="preserve">Reportedly, </w:t>
      </w:r>
      <w:r w:rsidR="006C2123" w:rsidRPr="00521B05">
        <w:rPr>
          <w:rFonts w:ascii="Calibri" w:eastAsia="Times New Roman" w:hAnsi="Calibri" w:cs="Times New Roman"/>
          <w:color w:val="000000"/>
          <w:lang w:eastAsia="en-NZ"/>
        </w:rPr>
        <w:t>26,000 firearms imports were checked in 2016</w:t>
      </w:r>
      <w:r w:rsidR="00007E8C" w:rsidRPr="00521B05">
        <w:rPr>
          <w:rFonts w:ascii="Calibri" w:eastAsia="Times New Roman" w:hAnsi="Calibri" w:cs="Times New Roman"/>
          <w:color w:val="000000"/>
          <w:lang w:eastAsia="en-NZ"/>
        </w:rPr>
        <w:t xml:space="preserve">. </w:t>
      </w:r>
    </w:p>
    <w:p w14:paraId="2F3C1DDE" w14:textId="19064C0C" w:rsidR="007F4BFC" w:rsidRPr="00521B05" w:rsidRDefault="00007E8C" w:rsidP="00521B05">
      <w:pPr>
        <w:pStyle w:val="ListParagraph"/>
        <w:numPr>
          <w:ilvl w:val="0"/>
          <w:numId w:val="19"/>
        </w:numPr>
        <w:rPr>
          <w:b/>
          <w:u w:val="single"/>
        </w:rPr>
      </w:pPr>
      <w:r w:rsidRPr="00521B05">
        <w:rPr>
          <w:rFonts w:ascii="Calibri" w:eastAsia="Times New Roman" w:hAnsi="Calibri" w:cs="Times New Roman"/>
          <w:color w:val="000000"/>
          <w:lang w:eastAsia="en-NZ"/>
        </w:rPr>
        <w:t>T</w:t>
      </w:r>
      <w:r w:rsidR="006C2123" w:rsidRPr="00521B05">
        <w:rPr>
          <w:rFonts w:ascii="Calibri" w:eastAsia="Times New Roman" w:hAnsi="Calibri" w:cs="Times New Roman"/>
          <w:color w:val="000000"/>
          <w:lang w:eastAsia="en-NZ"/>
        </w:rPr>
        <w:t>here is no cost recovery for this work; taxpayer</w:t>
      </w:r>
      <w:r w:rsidR="000C3D47" w:rsidRPr="00521B05">
        <w:rPr>
          <w:rFonts w:ascii="Calibri" w:eastAsia="Times New Roman" w:hAnsi="Calibri" w:cs="Times New Roman"/>
          <w:color w:val="000000"/>
          <w:lang w:eastAsia="en-NZ"/>
        </w:rPr>
        <w:t>s cover</w:t>
      </w:r>
      <w:r w:rsidR="00FA4B7A">
        <w:rPr>
          <w:rFonts w:ascii="Calibri" w:eastAsia="Times New Roman" w:hAnsi="Calibri" w:cs="Times New Roman"/>
          <w:color w:val="000000"/>
          <w:lang w:eastAsia="en-NZ"/>
        </w:rPr>
        <w:t xml:space="preserve"> all p</w:t>
      </w:r>
      <w:r w:rsidR="006C2123" w:rsidRPr="00521B05">
        <w:rPr>
          <w:rFonts w:ascii="Calibri" w:eastAsia="Times New Roman" w:hAnsi="Calibri" w:cs="Times New Roman"/>
          <w:color w:val="000000"/>
          <w:lang w:eastAsia="en-NZ"/>
        </w:rPr>
        <w:t>olice time</w:t>
      </w:r>
      <w:r w:rsidR="0033141A" w:rsidRPr="00521B05">
        <w:rPr>
          <w:rFonts w:ascii="Calibri" w:eastAsia="Times New Roman" w:hAnsi="Calibri" w:cs="Times New Roman"/>
          <w:color w:val="000000"/>
          <w:lang w:eastAsia="en-NZ"/>
        </w:rPr>
        <w:t xml:space="preserve"> and other costs.</w:t>
      </w:r>
    </w:p>
    <w:p w14:paraId="3052A5FD" w14:textId="77777777" w:rsidR="000F0E5E" w:rsidRDefault="00CA139E" w:rsidP="008B0B27">
      <w:pPr>
        <w:spacing w:after="0"/>
        <w:ind w:right="-897"/>
        <w:rPr>
          <w:b/>
        </w:rPr>
      </w:pPr>
      <w:r w:rsidRPr="0033141A">
        <w:rPr>
          <w:b/>
        </w:rPr>
        <w:t>Previous attempts to change the law</w:t>
      </w:r>
    </w:p>
    <w:p w14:paraId="6DB6BAAB" w14:textId="77777777" w:rsidR="0033141A" w:rsidRDefault="00C07F30" w:rsidP="00521B05">
      <w:pPr>
        <w:pStyle w:val="ListParagraph"/>
        <w:numPr>
          <w:ilvl w:val="0"/>
          <w:numId w:val="20"/>
        </w:numPr>
        <w:spacing w:after="0"/>
        <w:ind w:right="-897"/>
      </w:pPr>
      <w:r>
        <w:t>Thorp</w:t>
      </w:r>
      <w:r w:rsidRPr="00521B05">
        <w:rPr>
          <w:vertAlign w:val="superscript"/>
        </w:rPr>
        <w:fldChar w:fldCharType="begin"/>
      </w:r>
      <w:r w:rsidR="006415A4">
        <w:rPr>
          <w:vertAlign w:val="superscript"/>
        </w:rPr>
        <w:instrText xml:space="preserve"> ADDIN EN.CITE &lt;EndNote&gt;&lt;Cite&gt;&lt;Author&gt;Thorp&lt;/Author&gt;&lt;Year&gt;1997&lt;/Year&gt;&lt;RecNum&gt;126&lt;/RecNum&gt;&lt;DisplayText&gt;[7]&lt;/DisplayText&gt;&lt;record&gt;&lt;rec-number&gt;126&lt;/rec-number&gt;&lt;foreign-keys&gt;&lt;key app="EN" db-id="rfpw52atcxw998esway5r02srws0s0r5r2xd" timestamp="1485480418"&gt;126&lt;/key&gt;&lt;/foreign-keys&gt;&lt;ref-type name="Report"&gt;27&lt;/ref-type&gt;&lt;contributors&gt;&lt;authors&gt;&lt;author&gt;Thorp, Thomas M&lt;/author&gt;&lt;/authors&gt;&lt;/contributors&gt;&lt;titles&gt;&lt;title&gt;Review of firearms control in New Zealand: Report of an independent inquiry commissioned by the Minister of Police&lt;/title&gt;&lt;/titles&gt;&lt;dates&gt;&lt;year&gt;1997&lt;/year&gt;&lt;/dates&gt;&lt;pub-location&gt;Wellington&lt;/pub-location&gt;&lt;publisher&gt;GP Print&lt;/publisher&gt;&lt;urls&gt;&lt;/urls&gt;&lt;/record&gt;&lt;/Cite&gt;&lt;/EndNote&gt;</w:instrText>
      </w:r>
      <w:r w:rsidRPr="00521B05">
        <w:rPr>
          <w:vertAlign w:val="superscript"/>
        </w:rPr>
        <w:fldChar w:fldCharType="separate"/>
      </w:r>
      <w:r w:rsidR="006415A4">
        <w:rPr>
          <w:noProof/>
          <w:vertAlign w:val="superscript"/>
        </w:rPr>
        <w:t>[7]</w:t>
      </w:r>
      <w:r w:rsidRPr="00521B05">
        <w:rPr>
          <w:vertAlign w:val="superscript"/>
        </w:rPr>
        <w:fldChar w:fldCharType="end"/>
      </w:r>
      <w:r>
        <w:t xml:space="preserve"> </w:t>
      </w:r>
      <w:r w:rsidR="00202181">
        <w:t xml:space="preserve">recommended major changes </w:t>
      </w:r>
      <w:r w:rsidR="00E5217C">
        <w:t xml:space="preserve">which </w:t>
      </w:r>
      <w:r w:rsidR="00202181">
        <w:t xml:space="preserve">were </w:t>
      </w:r>
      <w:r w:rsidR="00E5217C">
        <w:t>not implemented</w:t>
      </w:r>
      <w:r w:rsidR="000C3D47">
        <w:t>, including</w:t>
      </w:r>
      <w:r w:rsidR="003A0F6F">
        <w:t>:</w:t>
      </w:r>
    </w:p>
    <w:p w14:paraId="16241135" w14:textId="77777777" w:rsidR="000F0E5E" w:rsidRDefault="00202181" w:rsidP="00521B05">
      <w:pPr>
        <w:pStyle w:val="ListParagraph"/>
        <w:numPr>
          <w:ilvl w:val="0"/>
          <w:numId w:val="21"/>
        </w:numPr>
        <w:spacing w:after="0"/>
        <w:ind w:right="-897"/>
      </w:pPr>
      <w:r w:rsidRPr="00D32833">
        <w:t>All firearms to be individually registered to their owners, in addition to owner licensing</w:t>
      </w:r>
      <w:r w:rsidR="00F35C9A" w:rsidRPr="00D32833">
        <w:t xml:space="preserve"> </w:t>
      </w:r>
    </w:p>
    <w:p w14:paraId="00B4E511" w14:textId="77777777" w:rsidR="000F0E5E" w:rsidRDefault="00202181" w:rsidP="00521B05">
      <w:pPr>
        <w:pStyle w:val="ListParagraph"/>
        <w:numPr>
          <w:ilvl w:val="0"/>
          <w:numId w:val="21"/>
        </w:numPr>
        <w:spacing w:after="0"/>
        <w:ind w:right="-897"/>
      </w:pPr>
      <w:r w:rsidRPr="00D32833">
        <w:t>A buy-back of military-style semi-automatic wea</w:t>
      </w:r>
      <w:r w:rsidR="00C07F30">
        <w:t>pons (MSSAs, or ‘assault rifles’</w:t>
      </w:r>
      <w:r w:rsidRPr="00D32833">
        <w:t>)</w:t>
      </w:r>
    </w:p>
    <w:p w14:paraId="36C4633E" w14:textId="77777777" w:rsidR="000F0E5E" w:rsidRDefault="00202181" w:rsidP="00521B05">
      <w:pPr>
        <w:pStyle w:val="ListParagraph"/>
        <w:numPr>
          <w:ilvl w:val="0"/>
          <w:numId w:val="21"/>
        </w:numPr>
        <w:spacing w:after="0"/>
        <w:ind w:right="-897"/>
      </w:pPr>
      <w:r w:rsidRPr="00D32833">
        <w:t>Al</w:t>
      </w:r>
      <w:r w:rsidR="003A0F6F">
        <w:t>l restricted weapons (privately-</w:t>
      </w:r>
      <w:r w:rsidRPr="00D32833">
        <w:t>held machine guns, etc.) to be permanently disabled</w:t>
      </w:r>
      <w:r w:rsidR="00C07F30">
        <w:t xml:space="preserve"> </w:t>
      </w:r>
      <w:r w:rsidR="00F35C9A" w:rsidRPr="00D32833">
        <w:t xml:space="preserve"> </w:t>
      </w:r>
    </w:p>
    <w:p w14:paraId="271FFF7E" w14:textId="77777777" w:rsidR="000F0E5E" w:rsidRDefault="00202181" w:rsidP="00521B05">
      <w:pPr>
        <w:pStyle w:val="ListParagraph"/>
        <w:numPr>
          <w:ilvl w:val="0"/>
          <w:numId w:val="21"/>
        </w:numPr>
        <w:spacing w:after="0"/>
        <w:ind w:right="-897"/>
      </w:pPr>
      <w:r w:rsidRPr="00D32833">
        <w:t>A three-year re-licensing of firearms owners instead of 10 years</w:t>
      </w:r>
      <w:r w:rsidR="00F35C9A" w:rsidRPr="00D32833">
        <w:t xml:space="preserve"> </w:t>
      </w:r>
    </w:p>
    <w:p w14:paraId="11994C09" w14:textId="01C6313C" w:rsidR="000F0E5E" w:rsidRDefault="00202181" w:rsidP="00521B05">
      <w:pPr>
        <w:pStyle w:val="ListParagraph"/>
        <w:numPr>
          <w:ilvl w:val="0"/>
          <w:numId w:val="21"/>
        </w:numPr>
        <w:spacing w:after="0"/>
        <w:ind w:right="-897"/>
      </w:pPr>
      <w:r w:rsidRPr="00D32833">
        <w:t>Ammunition sales to be limited to the types of firearms</w:t>
      </w:r>
      <w:r w:rsidR="006F2B35">
        <w:t xml:space="preserve"> registered</w:t>
      </w:r>
      <w:r w:rsidRPr="00D32833">
        <w:t xml:space="preserve"> to the </w:t>
      </w:r>
      <w:r w:rsidR="00C07F30">
        <w:t xml:space="preserve">buyer </w:t>
      </w:r>
    </w:p>
    <w:p w14:paraId="41069EC8" w14:textId="77777777" w:rsidR="000F0E5E" w:rsidRDefault="00202181" w:rsidP="00521B05">
      <w:pPr>
        <w:pStyle w:val="ListParagraph"/>
        <w:numPr>
          <w:ilvl w:val="0"/>
          <w:numId w:val="21"/>
        </w:numPr>
        <w:spacing w:after="0"/>
        <w:ind w:right="-897"/>
      </w:pPr>
      <w:r w:rsidRPr="00D32833">
        <w:t>An independent Firearms Authority to monitor enforcement and compliance with gun laws</w:t>
      </w:r>
      <w:r w:rsidR="00C07F30">
        <w:t>.</w:t>
      </w:r>
      <w:r w:rsidR="000F0E5E">
        <w:t xml:space="preserve"> </w:t>
      </w:r>
    </w:p>
    <w:p w14:paraId="36062A43" w14:textId="19195E96" w:rsidR="000F0E5E" w:rsidRDefault="003A0F6F" w:rsidP="006F2B35">
      <w:pPr>
        <w:pStyle w:val="ListParagraph"/>
        <w:numPr>
          <w:ilvl w:val="0"/>
          <w:numId w:val="20"/>
        </w:numPr>
        <w:ind w:right="-330"/>
      </w:pPr>
      <w:r>
        <w:t xml:space="preserve">The government </w:t>
      </w:r>
      <w:r w:rsidR="006F2B35">
        <w:t xml:space="preserve">and MPs unsuccessfully </w:t>
      </w:r>
      <w:r>
        <w:t xml:space="preserve">attempted various reforms </w:t>
      </w:r>
      <w:r w:rsidR="000C3D47">
        <w:t>after</w:t>
      </w:r>
      <w:r w:rsidR="00C16793">
        <w:t xml:space="preserve"> 1997</w:t>
      </w:r>
      <w:r w:rsidR="00730856">
        <w:t xml:space="preserve">. Parliament’s </w:t>
      </w:r>
      <w:hyperlink r:id="rId14" w:history="1">
        <w:r w:rsidR="00730856" w:rsidRPr="00730856">
          <w:rPr>
            <w:rStyle w:val="Hyperlink"/>
          </w:rPr>
          <w:t>Law and Order Select Committee</w:t>
        </w:r>
      </w:hyperlink>
      <w:r w:rsidR="00730856">
        <w:t xml:space="preserve"> looked at firearms laws in 2016-17; </w:t>
      </w:r>
      <w:r>
        <w:t xml:space="preserve">of 20 </w:t>
      </w:r>
      <w:r w:rsidR="00545359">
        <w:t>r</w:t>
      </w:r>
      <w:r>
        <w:t xml:space="preserve">ecommendations, </w:t>
      </w:r>
      <w:r w:rsidR="00730856">
        <w:t>the National-led government rejected 1</w:t>
      </w:r>
      <w:r w:rsidR="00007E8C">
        <w:t xml:space="preserve">2, accepted seven </w:t>
      </w:r>
      <w:r w:rsidR="00784D3C">
        <w:t>and amended</w:t>
      </w:r>
      <w:r>
        <w:t xml:space="preserve"> one</w:t>
      </w:r>
      <w:r w:rsidR="00007E8C">
        <w:t xml:space="preserve">. </w:t>
      </w:r>
    </w:p>
    <w:p w14:paraId="426E578C" w14:textId="46B9B115" w:rsidR="006A3595" w:rsidRDefault="006A3595" w:rsidP="006F2B35">
      <w:pPr>
        <w:pStyle w:val="ListParagraph"/>
        <w:numPr>
          <w:ilvl w:val="0"/>
          <w:numId w:val="20"/>
        </w:numPr>
        <w:ind w:right="-330"/>
      </w:pPr>
      <w:r>
        <w:t>Both Thorp and the Law and Order Select Committee recommended placing greater controls on MSSAs.</w:t>
      </w:r>
    </w:p>
    <w:p w14:paraId="25900A62" w14:textId="77777777" w:rsidR="00202181" w:rsidRPr="00D32833" w:rsidRDefault="00007E8C" w:rsidP="00521B05">
      <w:pPr>
        <w:pStyle w:val="ListParagraph"/>
        <w:numPr>
          <w:ilvl w:val="0"/>
          <w:numId w:val="20"/>
        </w:numPr>
      </w:pPr>
      <w:r>
        <w:t>The rejected recommendations included</w:t>
      </w:r>
      <w:r w:rsidR="00730856">
        <w:t xml:space="preserve"> </w:t>
      </w:r>
      <w:r w:rsidR="003A0F6F">
        <w:t>some that</w:t>
      </w:r>
      <w:r w:rsidR="00730856">
        <w:t xml:space="preserve"> would have started a register of firearms, </w:t>
      </w:r>
      <w:r w:rsidR="00784D3C">
        <w:t>and restricted sales of ammunition.</w:t>
      </w:r>
    </w:p>
    <w:p w14:paraId="21EB145D" w14:textId="77777777" w:rsidR="000F0E5E" w:rsidRDefault="00007E8C" w:rsidP="008B0B27">
      <w:pPr>
        <w:spacing w:after="0"/>
      </w:pPr>
      <w:r w:rsidRPr="009B4090">
        <w:rPr>
          <w:b/>
        </w:rPr>
        <w:t xml:space="preserve">Why do we need stricter firearms laws? </w:t>
      </w:r>
    </w:p>
    <w:p w14:paraId="0657DB75" w14:textId="0E992ED7" w:rsidR="006A3595" w:rsidRDefault="006A3595" w:rsidP="006A3595">
      <w:pPr>
        <w:pStyle w:val="ListParagraph"/>
        <w:numPr>
          <w:ilvl w:val="0"/>
          <w:numId w:val="22"/>
        </w:numPr>
        <w:spacing w:after="0"/>
      </w:pPr>
      <w:r>
        <w:t xml:space="preserve">Tighter </w:t>
      </w:r>
      <w:r w:rsidRPr="00502FEF">
        <w:t xml:space="preserve">firearms laws will further decrease the danger </w:t>
      </w:r>
      <w:r>
        <w:t>of firearms deaths and injuries</w:t>
      </w:r>
      <w:r w:rsidR="003D1D35">
        <w:t>.</w:t>
      </w:r>
    </w:p>
    <w:p w14:paraId="58711E34" w14:textId="33055D8C" w:rsidR="006A3595" w:rsidRDefault="006A3595" w:rsidP="006A3595">
      <w:pPr>
        <w:pStyle w:val="ListParagraph"/>
        <w:numPr>
          <w:ilvl w:val="0"/>
          <w:numId w:val="22"/>
        </w:numPr>
        <w:spacing w:after="0"/>
      </w:pPr>
      <w:r>
        <w:t>‘Evidence from 130 studies in 10 countries suggests that in certain nations the simultaneous implementation of laws targeting multiple firearms restrictions [</w:t>
      </w:r>
      <w:r w:rsidRPr="008E0E14">
        <w:t>as now proposed in New Zealand]</w:t>
      </w:r>
      <w:r>
        <w:t xml:space="preserve"> is associated with reductions in firearm deaths’.</w:t>
      </w:r>
      <w:r w:rsidRPr="00521B05">
        <w:rPr>
          <w:vertAlign w:val="superscript"/>
        </w:rPr>
        <w:fldChar w:fldCharType="begin"/>
      </w:r>
      <w:r>
        <w:rPr>
          <w:vertAlign w:val="superscript"/>
        </w:rPr>
        <w:instrText xml:space="preserve"> ADDIN EN.CITE &lt;EndNote&gt;&lt;Cite&gt;&lt;Author&gt;Santaella-Tenorio&lt;/Author&gt;&lt;Year&gt;2016&lt;/Year&gt;&lt;RecNum&gt;191&lt;/RecNum&gt;&lt;DisplayText&gt;[11]&lt;/DisplayText&gt;&lt;record&gt;&lt;rec-number&gt;191&lt;/rec-number&gt;&lt;foreign-keys&gt;&lt;key app="EN" db-id="rfpw52atcxw998esway5r02srws0s0r5r2xd" timestamp="1503010707"&gt;191&lt;/key&gt;&lt;/foreign-keys&gt;&lt;ref-type name="Journal Article"&gt;17&lt;/ref-type&gt;&lt;contributors&gt;&lt;authors&gt;&lt;author&gt;Santaella-Tenorio, Julian&lt;/author&gt;&lt;author&gt;Cerdá, Magdalena&lt;/author&gt;&lt;author&gt;Villaveces, Andrés&lt;/author&gt;&lt;author&gt;Galea, Sandro&lt;/author&gt;&lt;/authors&gt;&lt;/contributors&gt;&lt;titles&gt;&lt;title&gt;What do we know about the association between firearm legislation and firearm-related injuries?&lt;/title&gt;&lt;secondary-title&gt;Epidemiologic Reviews&lt;/secondary-title&gt;&lt;/titles&gt;&lt;periodical&gt;&lt;full-title&gt;Epidemiologic Reviews&lt;/full-title&gt;&lt;/periodical&gt;&lt;pages&gt;140-157&lt;/pages&gt;&lt;volume&gt;38&lt;/volume&gt;&lt;number&gt;1&lt;/number&gt;&lt;dates&gt;&lt;year&gt;2016&lt;/year&gt;&lt;/dates&gt;&lt;isbn&gt;0193-936X&lt;/isbn&gt;&lt;urls&gt;&lt;related-urls&gt;&lt;url&gt;http://dx.doi.org/10.1093/epirev/mxv012&lt;/url&gt;&lt;/related-urls&gt;&lt;/urls&gt;&lt;electronic-resource-num&gt;10.1093/epirev/mxv012&lt;/electronic-resource-num&gt;&lt;/record&gt;&lt;/Cite&gt;&lt;/EndNote&gt;</w:instrText>
      </w:r>
      <w:r w:rsidRPr="00521B05">
        <w:rPr>
          <w:vertAlign w:val="superscript"/>
        </w:rPr>
        <w:fldChar w:fldCharType="separate"/>
      </w:r>
      <w:r>
        <w:rPr>
          <w:noProof/>
          <w:vertAlign w:val="superscript"/>
        </w:rPr>
        <w:t>[11]</w:t>
      </w:r>
      <w:r w:rsidRPr="00521B05">
        <w:rPr>
          <w:vertAlign w:val="superscript"/>
        </w:rPr>
        <w:fldChar w:fldCharType="end"/>
      </w:r>
      <w:r>
        <w:t xml:space="preserve"> </w:t>
      </w:r>
    </w:p>
    <w:p w14:paraId="0823AF47" w14:textId="77777777" w:rsidR="00A9350C" w:rsidRDefault="00244D4C" w:rsidP="00521B05">
      <w:pPr>
        <w:pStyle w:val="ListParagraph"/>
        <w:numPr>
          <w:ilvl w:val="0"/>
          <w:numId w:val="22"/>
        </w:numPr>
        <w:spacing w:after="0"/>
      </w:pPr>
      <w:r>
        <w:t>‘</w:t>
      </w:r>
      <w:r w:rsidR="000C3D47">
        <w:t>Following the introduction of legislation restricting ownership and access to firearms, [in 1992] firearm-related suicides significantly decreased</w:t>
      </w:r>
      <w:r w:rsidR="004E1470">
        <w:t>’ in New Zealand.</w:t>
      </w:r>
      <w:r w:rsidRPr="00521B05">
        <w:rPr>
          <w:vertAlign w:val="superscript"/>
        </w:rPr>
        <w:fldChar w:fldCharType="begin"/>
      </w:r>
      <w:r w:rsidR="006415A4">
        <w:rPr>
          <w:vertAlign w:val="superscript"/>
        </w:rPr>
        <w:instrText xml:space="preserve"> ADDIN EN.CITE &lt;EndNote&gt;&lt;Cite&gt;&lt;Author&gt;Beautrais&lt;/Author&gt;&lt;Year&gt;2006&lt;/Year&gt;&lt;RecNum&gt;26&lt;/RecNum&gt;&lt;DisplayText&gt;[9]&lt;/DisplayText&gt;&lt;record&gt;&lt;rec-number&gt;26&lt;/rec-number&gt;&lt;foreign-keys&gt;&lt;key app="EN" db-id="rfpw52atcxw998esway5r02srws0s0r5r2xd" timestamp="1475816356"&gt;26&lt;/key&gt;&lt;/foreign-keys&gt;&lt;ref-type name="Journal Article"&gt;17&lt;/ref-type&gt;&lt;contributors&gt;&lt;authors&gt;&lt;author&gt;Beautrais, A. L.&lt;/author&gt;&lt;author&gt;Fergusson, D. M.&lt;/author&gt;&lt;author&gt;Horwood, L. J.&lt;/author&gt;&lt;/authors&gt;&lt;/contributors&gt;&lt;auth-address&gt;Canterbury Suicide Project, Christchurch School of Medicine and Health Sciences, PO Box 4345, Christchurch, New Zealand&amp;#xD;Christchurch Health and Development Study, Christchurch, New Zealand&lt;/auth-address&gt;&lt;titles&gt;&lt;title&gt;Firearms legislation and reductions in firearm-related suicide deaths in New Zealand&lt;/title&gt;&lt;secondary-title&gt;Australian and New Zealand Journal of Psychiatry&lt;/secondary-title&gt;&lt;/titles&gt;&lt;periodical&gt;&lt;full-title&gt;Australian and New Zealand Journal of Psychiatry&lt;/full-title&gt;&lt;/periodical&gt;&lt;pages&gt;253-259&lt;/pages&gt;&lt;volume&gt;40&lt;/volume&gt;&lt;number&gt;3&lt;/number&gt;&lt;keywords&gt;&lt;keyword&gt;Firearms&lt;/keyword&gt;&lt;keyword&gt;Guns&lt;/keyword&gt;&lt;keyword&gt;Legislation&lt;/keyword&gt;&lt;keyword&gt;New Zealand&lt;/keyword&gt;&lt;keyword&gt;Suicide&lt;/keyword&gt;&lt;/keywords&gt;&lt;dates&gt;&lt;year&gt;2006&lt;/year&gt;&lt;/dates&gt;&lt;work-type&gt;Article&lt;/work-type&gt;&lt;urls&gt;&lt;related-urls&gt;&lt;url&gt;https://www.scopus.com/inward/record.uri?eid=2-s2.0-33644930007&amp;amp;partnerID=40&amp;amp;md5=196464eb7116958f30bd33ae8a126246&lt;/url&gt;&lt;/related-urls&gt;&lt;/urls&gt;&lt;electronic-resource-num&gt;10.1111/j.1440-1614.2006.01782.x&lt;/electronic-resource-num&gt;&lt;remote-database-name&gt;Scopus&lt;/remote-database-name&gt;&lt;/record&gt;&lt;/Cite&gt;&lt;/EndNote&gt;</w:instrText>
      </w:r>
      <w:r w:rsidRPr="00521B05">
        <w:rPr>
          <w:vertAlign w:val="superscript"/>
        </w:rPr>
        <w:fldChar w:fldCharType="separate"/>
      </w:r>
      <w:r w:rsidR="006415A4">
        <w:rPr>
          <w:noProof/>
          <w:vertAlign w:val="superscript"/>
        </w:rPr>
        <w:t>[9]</w:t>
      </w:r>
      <w:r w:rsidRPr="00521B05">
        <w:rPr>
          <w:vertAlign w:val="superscript"/>
        </w:rPr>
        <w:fldChar w:fldCharType="end"/>
      </w:r>
      <w:r>
        <w:t xml:space="preserve"> </w:t>
      </w:r>
    </w:p>
    <w:p w14:paraId="5C07DE5B" w14:textId="77777777" w:rsidR="00A9350C" w:rsidRDefault="00502FEF" w:rsidP="00521B05">
      <w:pPr>
        <w:pStyle w:val="ListParagraph"/>
        <w:numPr>
          <w:ilvl w:val="0"/>
          <w:numId w:val="22"/>
        </w:numPr>
        <w:spacing w:after="0"/>
      </w:pPr>
      <w:r>
        <w:t xml:space="preserve">In </w:t>
      </w:r>
      <w:r w:rsidR="009B4090">
        <w:t>Australia</w:t>
      </w:r>
      <w:r>
        <w:t xml:space="preserve"> </w:t>
      </w:r>
      <w:r w:rsidR="00244D4C">
        <w:t>‘f</w:t>
      </w:r>
      <w:r w:rsidR="009B4090">
        <w:t>rom 1979-1996 (before gun law reforms), 13 fatal mass shootings occurred in Australia, whereas from 1997 through May 2016 (after gun law reforms)</w:t>
      </w:r>
      <w:r w:rsidR="004E1470">
        <w:t xml:space="preserve">, no fatal mass </w:t>
      </w:r>
      <w:r w:rsidR="004E1470">
        <w:lastRenderedPageBreak/>
        <w:t>shootings occurred’;</w:t>
      </w:r>
      <w:r w:rsidR="009B4090">
        <w:t xml:space="preserve"> and ‘</w:t>
      </w:r>
      <w:r w:rsidR="00244D4C">
        <w:t>t</w:t>
      </w:r>
      <w:r w:rsidR="009B4090">
        <w:t>here was a statistically significant acceleration in the pre-existing downward trend for firearm suicide’.</w:t>
      </w:r>
      <w:r w:rsidR="00244D4C" w:rsidRPr="00521B05">
        <w:rPr>
          <w:vertAlign w:val="superscript"/>
        </w:rPr>
        <w:fldChar w:fldCharType="begin"/>
      </w:r>
      <w:r w:rsidR="006415A4">
        <w:rPr>
          <w:vertAlign w:val="superscript"/>
        </w:rPr>
        <w:instrText xml:space="preserve"> ADDIN EN.CITE &lt;EndNote&gt;&lt;Cite&gt;&lt;Author&gt;Chapman&lt;/Author&gt;&lt;Year&gt;2016&lt;/Year&gt;&lt;RecNum&gt;5&lt;/RecNum&gt;&lt;DisplayText&gt;[10]&lt;/DisplayText&gt;&lt;record&gt;&lt;rec-number&gt;5&lt;/rec-number&gt;&lt;foreign-keys&gt;&lt;key app="EN" db-id="rfpw52atcxw998esway5r02srws0s0r5r2xd" timestamp="1471483437"&gt;5&lt;/key&gt;&lt;/foreign-keys&gt;&lt;ref-type name="Journal Article"&gt;17&lt;/ref-type&gt;&lt;contributors&gt;&lt;authors&gt;&lt;author&gt;Chapman, S.&lt;/author&gt;&lt;author&gt;Alpers, P.&lt;/author&gt;&lt;author&gt;Jones, M.&lt;/author&gt;&lt;/authors&gt;&lt;/contributors&gt;&lt;titles&gt;&lt;title&gt;Association between gun law reforms and intentional firearm deaths in australia, 1979-2013&lt;/title&gt;&lt;secondary-title&gt;JAMA&lt;/secondary-title&gt;&lt;/titles&gt;&lt;periodical&gt;&lt;full-title&gt;JAMA&lt;/full-title&gt;&lt;/periodical&gt;&lt;pages&gt;291-299&lt;/pages&gt;&lt;volume&gt;316&lt;/volume&gt;&lt;number&gt;3&lt;/number&gt;&lt;dates&gt;&lt;year&gt;2016&lt;/year&gt;&lt;/dates&gt;&lt;isbn&gt;0098-7484&lt;/isbn&gt;&lt;urls&gt;&lt;related-urls&gt;&lt;url&gt;http://dx.doi.org/10.1001/jama.2016.8752&lt;/url&gt;&lt;/related-urls&gt;&lt;/urls&gt;&lt;electronic-resource-num&gt;10.1001/jama.2016.8752&lt;/electronic-resource-num&gt;&lt;/record&gt;&lt;/Cite&gt;&lt;/EndNote&gt;</w:instrText>
      </w:r>
      <w:r w:rsidR="00244D4C" w:rsidRPr="00521B05">
        <w:rPr>
          <w:vertAlign w:val="superscript"/>
        </w:rPr>
        <w:fldChar w:fldCharType="separate"/>
      </w:r>
      <w:r w:rsidR="006415A4">
        <w:rPr>
          <w:noProof/>
          <w:vertAlign w:val="superscript"/>
        </w:rPr>
        <w:t>[10]</w:t>
      </w:r>
      <w:r w:rsidR="00244D4C" w:rsidRPr="00521B05">
        <w:rPr>
          <w:vertAlign w:val="superscript"/>
        </w:rPr>
        <w:fldChar w:fldCharType="end"/>
      </w:r>
      <w:r w:rsidR="00A9350C">
        <w:t xml:space="preserve"> </w:t>
      </w:r>
    </w:p>
    <w:p w14:paraId="17D3E6B6" w14:textId="6624FCB2" w:rsidR="00A9350C" w:rsidRDefault="00795B29" w:rsidP="00521B05">
      <w:pPr>
        <w:spacing w:before="240" w:after="0"/>
        <w:rPr>
          <w:b/>
        </w:rPr>
      </w:pPr>
      <w:r w:rsidRPr="00795B29">
        <w:rPr>
          <w:b/>
        </w:rPr>
        <w:t>T</w:t>
      </w:r>
      <w:r w:rsidR="001E7770">
        <w:rPr>
          <w:b/>
        </w:rPr>
        <w:t>he financial costs of firearms</w:t>
      </w:r>
    </w:p>
    <w:p w14:paraId="674F18ED" w14:textId="392A984E" w:rsidR="00782536" w:rsidRDefault="00A9350C" w:rsidP="00521B05">
      <w:pPr>
        <w:pStyle w:val="ListParagraph"/>
        <w:numPr>
          <w:ilvl w:val="0"/>
          <w:numId w:val="23"/>
        </w:numPr>
        <w:spacing w:after="0"/>
      </w:pPr>
      <w:r w:rsidRPr="00782536">
        <w:t>F</w:t>
      </w:r>
      <w:r w:rsidR="00795B29" w:rsidRPr="00782536">
        <w:t xml:space="preserve">inancial benefits </w:t>
      </w:r>
      <w:r w:rsidR="00521B05" w:rsidRPr="00782536">
        <w:t xml:space="preserve">of </w:t>
      </w:r>
      <w:r w:rsidR="00795B29" w:rsidRPr="00782536">
        <w:t>firearms to individuals</w:t>
      </w:r>
      <w:r w:rsidR="000A169A" w:rsidRPr="00782536">
        <w:t xml:space="preserve"> and </w:t>
      </w:r>
      <w:r w:rsidR="00795B29" w:rsidRPr="00782536">
        <w:t>companies</w:t>
      </w:r>
      <w:r w:rsidR="003A0F6F" w:rsidRPr="00782536">
        <w:t>,</w:t>
      </w:r>
      <w:r w:rsidR="000A169A" w:rsidRPr="00782536">
        <w:t xml:space="preserve"> such as </w:t>
      </w:r>
      <w:r w:rsidR="00FA4B7A">
        <w:t>tourism</w:t>
      </w:r>
      <w:r w:rsidR="000A169A" w:rsidRPr="00782536">
        <w:t xml:space="preserve"> hunting businesses</w:t>
      </w:r>
      <w:r w:rsidR="003A0F6F" w:rsidRPr="00782536">
        <w:t>,</w:t>
      </w:r>
      <w:r w:rsidR="00795B29" w:rsidRPr="00782536">
        <w:t xml:space="preserve"> </w:t>
      </w:r>
      <w:r w:rsidR="00694C60" w:rsidRPr="00782536">
        <w:t xml:space="preserve">and firearms retailers </w:t>
      </w:r>
      <w:r w:rsidR="00795B29" w:rsidRPr="00782536">
        <w:t>must be weighed against the dollar costs to taxpayers of having a high per capita ownership of firearms</w:t>
      </w:r>
      <w:r w:rsidR="005413C9" w:rsidRPr="00782536">
        <w:t>,</w:t>
      </w:r>
      <w:r w:rsidR="00C27BF1" w:rsidRPr="00782536">
        <w:t xml:space="preserve"> and lax regulation</w:t>
      </w:r>
      <w:r w:rsidR="00795B29" w:rsidRPr="00782536">
        <w:t xml:space="preserve">. </w:t>
      </w:r>
    </w:p>
    <w:p w14:paraId="3746905C" w14:textId="5BDA7889" w:rsidR="00A9350C" w:rsidRPr="00782536" w:rsidRDefault="00782536" w:rsidP="00521B05">
      <w:pPr>
        <w:pStyle w:val="ListParagraph"/>
        <w:numPr>
          <w:ilvl w:val="0"/>
          <w:numId w:val="23"/>
        </w:numPr>
        <w:spacing w:after="0"/>
      </w:pPr>
      <w:r>
        <w:t>‘</w:t>
      </w:r>
      <w:r w:rsidR="00694C60" w:rsidRPr="00782536">
        <w:t>Gun City</w:t>
      </w:r>
      <w:r>
        <w:t>’</w:t>
      </w:r>
      <w:r w:rsidR="00694C60" w:rsidRPr="00782536">
        <w:t xml:space="preserve"> h</w:t>
      </w:r>
      <w:r w:rsidRPr="00782536">
        <w:t>as</w:t>
      </w:r>
      <w:r w:rsidR="00694C60" w:rsidRPr="00782536">
        <w:t xml:space="preserve"> a </w:t>
      </w:r>
      <w:r w:rsidRPr="00782536">
        <w:t xml:space="preserve">reported annual </w:t>
      </w:r>
      <w:r w:rsidR="00694C60" w:rsidRPr="00782536">
        <w:t>turnover of $20</w:t>
      </w:r>
      <w:r w:rsidRPr="00782536">
        <w:t>m.</w:t>
      </w:r>
      <w:r w:rsidRPr="00782536">
        <w:rPr>
          <w:vertAlign w:val="superscript"/>
        </w:rPr>
        <w:fldChar w:fldCharType="begin"/>
      </w:r>
      <w:r w:rsidRPr="00782536">
        <w:rPr>
          <w:vertAlign w:val="superscript"/>
        </w:rPr>
        <w:instrText xml:space="preserve"> ADDIN EN.CITE &lt;EndNote&gt;&lt;Cite&gt;&lt;Author&gt;Duff&lt;/Author&gt;&lt;Year&gt;2019, 19 March&lt;/Year&gt;&lt;RecNum&gt;284&lt;/RecNum&gt;&lt;DisplayText&gt;[12]&lt;/DisplayText&gt;&lt;record&gt;&lt;rec-number&gt;284&lt;/rec-number&gt;&lt;foreign-keys&gt;&lt;key app="EN" db-id="rfpw52atcxw998esway5r02srws0s0r5r2xd" timestamp="1554164524"&gt;284&lt;/key&gt;&lt;/foreign-keys&gt;&lt;ref-type name="Newspaper Article"&gt;23&lt;/ref-type&gt;&lt;contributors&gt;&lt;authors&gt;&lt;author&gt;Duff, Michelle&lt;/author&gt;&lt;/authors&gt;&lt;/contributors&gt;&lt;titles&gt;&lt;title&gt;Gun City&amp;apos;s David Tipple: Firearms aren&amp;apos;t the villain&lt;/title&gt;&lt;secondary-title&gt;Stuff&lt;/secondary-title&gt;&lt;/titles&gt;&lt;dates&gt;&lt;year&gt;2019, 19 March&lt;/year&gt;&lt;/dates&gt;&lt;urls&gt;&lt;related-urls&gt;&lt;url&gt;https://www.stuff.co.nz/national/christchurch-shooting/111376049/gun-citys-david-tipple-firearms-arent-the-villain &lt;/url&gt;&lt;/related-urls&gt;&lt;/urls&gt;&lt;/record&gt;&lt;/Cite&gt;&lt;/EndNote&gt;</w:instrText>
      </w:r>
      <w:r w:rsidRPr="00782536">
        <w:rPr>
          <w:vertAlign w:val="superscript"/>
        </w:rPr>
        <w:fldChar w:fldCharType="separate"/>
      </w:r>
      <w:r w:rsidRPr="00782536">
        <w:rPr>
          <w:noProof/>
          <w:vertAlign w:val="superscript"/>
        </w:rPr>
        <w:t>[12]</w:t>
      </w:r>
      <w:r w:rsidRPr="00782536">
        <w:rPr>
          <w:vertAlign w:val="superscript"/>
        </w:rPr>
        <w:fldChar w:fldCharType="end"/>
      </w:r>
    </w:p>
    <w:p w14:paraId="291CF4C3" w14:textId="77777777" w:rsidR="00E12D9A" w:rsidRDefault="00E12D9A" w:rsidP="00521B05">
      <w:pPr>
        <w:pStyle w:val="ListParagraph"/>
        <w:numPr>
          <w:ilvl w:val="0"/>
          <w:numId w:val="23"/>
        </w:numPr>
        <w:spacing w:after="0"/>
      </w:pPr>
      <w:r w:rsidRPr="00782536">
        <w:t>There were 32,413 years of life lost</w:t>
      </w:r>
      <w:r w:rsidR="001E7770" w:rsidRPr="00782536">
        <w:t xml:space="preserve"> owing to firearms deaths</w:t>
      </w:r>
      <w:r w:rsidRPr="00782536">
        <w:t xml:space="preserve"> in</w:t>
      </w:r>
      <w:r>
        <w:t xml:space="preserve"> 2000-2015, a yearly average of 2,026 years of life lost.</w:t>
      </w:r>
      <w:r w:rsidR="00D56116" w:rsidRPr="00D56116">
        <w:rPr>
          <w:vertAlign w:val="superscript"/>
        </w:rPr>
        <w:fldChar w:fldCharType="begin"/>
      </w:r>
      <w:r w:rsidR="006415A4">
        <w:rPr>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vertAlign w:val="superscript"/>
        </w:rPr>
        <w:fldChar w:fldCharType="separate"/>
      </w:r>
      <w:r w:rsidR="00D56116">
        <w:rPr>
          <w:noProof/>
          <w:vertAlign w:val="superscript"/>
        </w:rPr>
        <w:t>[1]</w:t>
      </w:r>
      <w:r w:rsidR="00D56116" w:rsidRPr="00D56116">
        <w:rPr>
          <w:vertAlign w:val="superscript"/>
        </w:rPr>
        <w:fldChar w:fldCharType="end"/>
      </w:r>
      <w:r>
        <w:t xml:space="preserve"> </w:t>
      </w:r>
    </w:p>
    <w:p w14:paraId="56E6A06D" w14:textId="77777777" w:rsidR="00E12D9A" w:rsidRDefault="00E12D9A" w:rsidP="00521B05">
      <w:pPr>
        <w:pStyle w:val="ListParagraph"/>
        <w:numPr>
          <w:ilvl w:val="0"/>
          <w:numId w:val="23"/>
        </w:numPr>
        <w:spacing w:after="0"/>
      </w:pPr>
      <w:r>
        <w:t>Mortality costs were calculated using a $150,000 value of a life year. Total costs of firearms deaths per year in 2000-2015 were $304 million per year ($4.86 billion over the 16 years).</w:t>
      </w:r>
      <w:r w:rsidR="00D56116" w:rsidRPr="00D56116">
        <w:rPr>
          <w:vertAlign w:val="superscript"/>
        </w:rPr>
        <w:fldChar w:fldCharType="begin"/>
      </w:r>
      <w:r w:rsidR="006415A4">
        <w:rPr>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vertAlign w:val="superscript"/>
        </w:rPr>
        <w:fldChar w:fldCharType="separate"/>
      </w:r>
      <w:r w:rsidR="00D56116">
        <w:rPr>
          <w:noProof/>
          <w:vertAlign w:val="superscript"/>
        </w:rPr>
        <w:t>[1]</w:t>
      </w:r>
      <w:r w:rsidR="00D56116" w:rsidRPr="00D56116">
        <w:rPr>
          <w:vertAlign w:val="superscript"/>
        </w:rPr>
        <w:fldChar w:fldCharType="end"/>
      </w:r>
    </w:p>
    <w:p w14:paraId="68A5494A" w14:textId="77777777" w:rsidR="00E12D9A" w:rsidRDefault="00E12D9A" w:rsidP="00521B05">
      <w:pPr>
        <w:pStyle w:val="ListParagraph"/>
        <w:numPr>
          <w:ilvl w:val="0"/>
          <w:numId w:val="23"/>
        </w:numPr>
        <w:spacing w:after="0"/>
      </w:pPr>
      <w:r>
        <w:t>The average cost of firearms injury hospitalisations 2000-2017 was $9,638 per injury.</w:t>
      </w:r>
      <w:r w:rsidR="00D56116" w:rsidRPr="00D56116">
        <w:rPr>
          <w:vertAlign w:val="superscript"/>
        </w:rPr>
        <w:fldChar w:fldCharType="begin"/>
      </w:r>
      <w:r w:rsidR="006415A4">
        <w:rPr>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vertAlign w:val="superscript"/>
        </w:rPr>
        <w:fldChar w:fldCharType="separate"/>
      </w:r>
      <w:r w:rsidR="00D56116">
        <w:rPr>
          <w:noProof/>
          <w:vertAlign w:val="superscript"/>
        </w:rPr>
        <w:t>[1]</w:t>
      </w:r>
      <w:r w:rsidR="00D56116" w:rsidRPr="00D56116">
        <w:rPr>
          <w:vertAlign w:val="superscript"/>
        </w:rPr>
        <w:fldChar w:fldCharType="end"/>
      </w:r>
    </w:p>
    <w:p w14:paraId="27F997F7" w14:textId="77777777" w:rsidR="007179D6" w:rsidRDefault="001D1454" w:rsidP="00465196">
      <w:pPr>
        <w:pStyle w:val="ListParagraph"/>
        <w:numPr>
          <w:ilvl w:val="0"/>
          <w:numId w:val="23"/>
        </w:numPr>
        <w:spacing w:after="0"/>
      </w:pPr>
      <w:r>
        <w:t>The average annual cost of</w:t>
      </w:r>
      <w:r w:rsidR="00437676">
        <w:t xml:space="preserve"> firearms injury hospitalisations 2000-2017 was $961,707.</w:t>
      </w:r>
      <w:r w:rsidR="00D56116" w:rsidRPr="00D56116">
        <w:rPr>
          <w:vertAlign w:val="superscript"/>
        </w:rPr>
        <w:fldChar w:fldCharType="begin"/>
      </w:r>
      <w:r w:rsidR="006415A4">
        <w:rPr>
          <w:vertAlign w:val="superscript"/>
        </w:rPr>
        <w:instrText xml:space="preserve"> ADDIN EN.CITE &lt;EndNote&gt;&lt;Cite&gt;&lt;Author&gt;Telfar-Barnard&lt;/Author&gt;&lt;Year&gt;2019&lt;/Year&gt;&lt;RecNum&gt;282&lt;/RecNum&gt;&lt;DisplayText&gt;[1]&lt;/DisplayText&gt;&lt;record&gt;&lt;rec-number&gt;282&lt;/rec-number&gt;&lt;foreign-keys&gt;&lt;key app="EN" db-id="rfpw52atcxw998esway5r02srws0s0r5r2xd" timestamp="1554071387"&gt;282&lt;/key&gt;&lt;/foreign-keys&gt;&lt;ref-type name="Personal Communication"&gt;26&lt;/ref-type&gt;&lt;contributors&gt;&lt;authors&gt;&lt;author&gt;Telfar-Barnard, Lucy&lt;/author&gt;&lt;/authors&gt;&lt;secondary-authors&gt;&lt;author&gt;Marie Russell&lt;/author&gt;&lt;/secondary-authors&gt;&lt;/contributors&gt;&lt;titles&gt;&lt;title&gt;New Zealand firearm hospitalisation and mortality rates and costs. Personal Communication&lt;/title&gt;&lt;/titles&gt;&lt;dates&gt;&lt;year&gt;2019&lt;/year&gt;&lt;/dates&gt;&lt;urls&gt;&lt;/urls&gt;&lt;/record&gt;&lt;/Cite&gt;&lt;/EndNote&gt;</w:instrText>
      </w:r>
      <w:r w:rsidR="00D56116" w:rsidRPr="00D56116">
        <w:rPr>
          <w:vertAlign w:val="superscript"/>
        </w:rPr>
        <w:fldChar w:fldCharType="separate"/>
      </w:r>
      <w:r w:rsidR="00D56116">
        <w:rPr>
          <w:noProof/>
          <w:vertAlign w:val="superscript"/>
        </w:rPr>
        <w:t>[1]</w:t>
      </w:r>
      <w:r w:rsidR="00D56116" w:rsidRPr="00D56116">
        <w:rPr>
          <w:vertAlign w:val="superscript"/>
        </w:rPr>
        <w:fldChar w:fldCharType="end"/>
      </w:r>
    </w:p>
    <w:p w14:paraId="2D47B0C7" w14:textId="77777777" w:rsidR="00A9350C" w:rsidRDefault="00795B29" w:rsidP="00521B05">
      <w:pPr>
        <w:pStyle w:val="ListParagraph"/>
        <w:numPr>
          <w:ilvl w:val="0"/>
          <w:numId w:val="23"/>
        </w:numPr>
      </w:pPr>
      <w:r>
        <w:t>As noted above, the taxpay</w:t>
      </w:r>
      <w:r w:rsidR="00C27BF1">
        <w:t>er has been</w:t>
      </w:r>
      <w:r>
        <w:t xml:space="preserve"> subsidising </w:t>
      </w:r>
      <w:r w:rsidR="00C852CF">
        <w:t xml:space="preserve">the </w:t>
      </w:r>
      <w:r>
        <w:t>firearms</w:t>
      </w:r>
      <w:r w:rsidR="00C852CF">
        <w:t xml:space="preserve"> imports system</w:t>
      </w:r>
      <w:r w:rsidR="00462262">
        <w:t>; individuals, dealers and collectors pay only their 10-year licence fee and zero fees for import services</w:t>
      </w:r>
      <w:r w:rsidR="00A9350C">
        <w:t>.</w:t>
      </w:r>
    </w:p>
    <w:p w14:paraId="32559829" w14:textId="77777777" w:rsidR="00A9350C" w:rsidRDefault="00C852CF" w:rsidP="00521B05">
      <w:pPr>
        <w:pStyle w:val="ListParagraph"/>
        <w:numPr>
          <w:ilvl w:val="0"/>
          <w:numId w:val="23"/>
        </w:numPr>
      </w:pPr>
      <w:r>
        <w:t xml:space="preserve">The firearms licensing system </w:t>
      </w:r>
      <w:r w:rsidR="005413C9">
        <w:t xml:space="preserve">cost New Zealand Police </w:t>
      </w:r>
      <w:r w:rsidR="000A169A">
        <w:t>$11,876,000 in 2016</w:t>
      </w:r>
      <w:r w:rsidR="00687F4A">
        <w:t>-</w:t>
      </w:r>
      <w:r w:rsidR="000A169A">
        <w:t xml:space="preserve">17. </w:t>
      </w:r>
      <w:r>
        <w:t xml:space="preserve"> </w:t>
      </w:r>
    </w:p>
    <w:p w14:paraId="18BB3CE1" w14:textId="3B9FB77E" w:rsidR="00A9350C" w:rsidRDefault="00C27BF1" w:rsidP="00521B05">
      <w:pPr>
        <w:pStyle w:val="ListParagraph"/>
        <w:numPr>
          <w:ilvl w:val="0"/>
          <w:numId w:val="23"/>
        </w:numPr>
      </w:pPr>
      <w:r>
        <w:t>Applicants’ f</w:t>
      </w:r>
      <w:r w:rsidR="00C852CF">
        <w:t>ees paid to obtain a firearms licence</w:t>
      </w:r>
      <w:r w:rsidR="000A169A">
        <w:t xml:space="preserve"> that year</w:t>
      </w:r>
      <w:r w:rsidR="00C852CF">
        <w:t xml:space="preserve"> cove</w:t>
      </w:r>
      <w:r w:rsidR="000A169A">
        <w:t xml:space="preserve">red </w:t>
      </w:r>
      <w:r w:rsidR="00B672F2">
        <w:t>only about 45 per cent of the p</w:t>
      </w:r>
      <w:r w:rsidR="00C852CF">
        <w:t xml:space="preserve">olice’s licensing system; </w:t>
      </w:r>
      <w:r w:rsidR="001E7770">
        <w:t>in 2010-</w:t>
      </w:r>
      <w:r w:rsidR="00832FDB">
        <w:t xml:space="preserve">11 </w:t>
      </w:r>
      <w:r w:rsidR="000A169A">
        <w:t xml:space="preserve">the </w:t>
      </w:r>
      <w:r w:rsidR="00A9350C">
        <w:t xml:space="preserve">proportion </w:t>
      </w:r>
      <w:r w:rsidR="000A169A">
        <w:t xml:space="preserve">of costs covered by applicants’ fees </w:t>
      </w:r>
      <w:r w:rsidR="00B672F2">
        <w:t>was 17 per cent</w:t>
      </w:r>
      <w:r w:rsidR="00462262">
        <w:t xml:space="preserve"> (</w:t>
      </w:r>
      <w:r w:rsidR="00FA766E">
        <w:t xml:space="preserve">annual </w:t>
      </w:r>
      <w:r w:rsidR="000A169A">
        <w:t>fluctuations</w:t>
      </w:r>
      <w:r w:rsidR="001E7770">
        <w:t xml:space="preserve"> occur</w:t>
      </w:r>
      <w:r w:rsidR="000A169A">
        <w:t xml:space="preserve"> in </w:t>
      </w:r>
      <w:r w:rsidR="00462262">
        <w:t>numbers of applicants</w:t>
      </w:r>
      <w:r w:rsidR="000A169A">
        <w:t xml:space="preserve"> as </w:t>
      </w:r>
      <w:r w:rsidR="00A9350C">
        <w:t xml:space="preserve">owners </w:t>
      </w:r>
      <w:r w:rsidR="00462262">
        <w:t>renew 10-year licences).</w:t>
      </w:r>
      <w:r w:rsidR="00CC5AE8">
        <w:t xml:space="preserve"> </w:t>
      </w:r>
    </w:p>
    <w:p w14:paraId="621B515D" w14:textId="761757E6" w:rsidR="00386DB2" w:rsidRDefault="00CC5AE8" w:rsidP="00521B05">
      <w:pPr>
        <w:pStyle w:val="ListParagraph"/>
        <w:numPr>
          <w:ilvl w:val="0"/>
          <w:numId w:val="23"/>
        </w:numPr>
      </w:pPr>
      <w:r>
        <w:t>The outstanding costs we</w:t>
      </w:r>
      <w:r w:rsidR="000A169A">
        <w:t xml:space="preserve">re </w:t>
      </w:r>
      <w:r w:rsidR="00C852CF">
        <w:t>covered by the taxpayer</w:t>
      </w:r>
      <w:r w:rsidR="00462262">
        <w:t xml:space="preserve">, i.e. </w:t>
      </w:r>
      <w:r w:rsidR="001E7770">
        <w:t>$10 million in 2010-</w:t>
      </w:r>
      <w:r>
        <w:t>11, and $</w:t>
      </w:r>
      <w:r w:rsidR="00462262">
        <w:t>6.5 million in 2016</w:t>
      </w:r>
      <w:r w:rsidR="001E7770">
        <w:t>-</w:t>
      </w:r>
      <w:r>
        <w:t>17.</w:t>
      </w:r>
      <w:r w:rsidRPr="00521B05">
        <w:rPr>
          <w:vertAlign w:val="superscript"/>
        </w:rPr>
        <w:fldChar w:fldCharType="begin"/>
      </w:r>
      <w:r w:rsidR="00782536">
        <w:rPr>
          <w:vertAlign w:val="superscript"/>
        </w:rPr>
        <w:instrText xml:space="preserve"> ADDIN EN.CITE &lt;EndNote&gt;&lt;Cite&gt;&lt;Author&gt;New Zealand Police&lt;/Author&gt;&lt;RecNum&gt;276&lt;/RecNum&gt;&lt;DisplayText&gt;[13]&lt;/DisplayText&gt;&lt;record&gt;&lt;rec-number&gt;276&lt;/rec-number&gt;&lt;foreign-keys&gt;&lt;key app="EN" db-id="rfpw52atcxw998esway5r02srws0s0r5r2xd" timestamp="1553917277"&gt;276&lt;/key&gt;&lt;/foreign-keys&gt;&lt;ref-type name="Generic"&gt;13&lt;/ref-type&gt;&lt;contributors&gt;&lt;authors&gt;&lt;author&gt;New Zealand Police,&lt;/author&gt;&lt;/authors&gt;&lt;/contributors&gt;&lt;titles&gt;&lt;title&gt;Annual Reports&lt;/title&gt;&lt;/titles&gt;&lt;dates&gt;&lt;/dates&gt;&lt;pub-location&gt;Wellington&lt;/pub-location&gt;&lt;urls&gt;&lt;/urls&gt;&lt;/record&gt;&lt;/Cite&gt;&lt;/EndNote&gt;</w:instrText>
      </w:r>
      <w:r w:rsidRPr="00521B05">
        <w:rPr>
          <w:vertAlign w:val="superscript"/>
        </w:rPr>
        <w:fldChar w:fldCharType="separate"/>
      </w:r>
      <w:r w:rsidR="00782536">
        <w:rPr>
          <w:noProof/>
          <w:vertAlign w:val="superscript"/>
        </w:rPr>
        <w:t>[13]</w:t>
      </w:r>
      <w:r w:rsidRPr="00521B05">
        <w:rPr>
          <w:vertAlign w:val="superscript"/>
        </w:rPr>
        <w:fldChar w:fldCharType="end"/>
      </w:r>
      <w:r>
        <w:t xml:space="preserve"> </w:t>
      </w:r>
    </w:p>
    <w:p w14:paraId="4D0D3D84" w14:textId="77777777" w:rsidR="00A9350C" w:rsidRDefault="00CA139E" w:rsidP="008B0B27">
      <w:pPr>
        <w:spacing w:after="0"/>
        <w:rPr>
          <w:b/>
        </w:rPr>
      </w:pPr>
      <w:r w:rsidRPr="00823FF3">
        <w:rPr>
          <w:b/>
        </w:rPr>
        <w:t xml:space="preserve">The gun </w:t>
      </w:r>
      <w:r w:rsidR="00823FF3">
        <w:rPr>
          <w:b/>
        </w:rPr>
        <w:t>l</w:t>
      </w:r>
      <w:r w:rsidR="001E7770">
        <w:rPr>
          <w:b/>
        </w:rPr>
        <w:t>obby and the gun-control lobby</w:t>
      </w:r>
    </w:p>
    <w:p w14:paraId="0FFDDDE7" w14:textId="77777777" w:rsidR="006F7826" w:rsidRDefault="001E7770" w:rsidP="007179D6">
      <w:pPr>
        <w:pStyle w:val="ListParagraph"/>
        <w:numPr>
          <w:ilvl w:val="0"/>
          <w:numId w:val="24"/>
        </w:numPr>
        <w:spacing w:after="0"/>
      </w:pPr>
      <w:r>
        <w:t>T</w:t>
      </w:r>
      <w:r w:rsidR="00744CC5">
        <w:t xml:space="preserve">he gun lobby in New Zealand is </w:t>
      </w:r>
      <w:r w:rsidR="00E64FC4">
        <w:t>organised</w:t>
      </w:r>
      <w:r w:rsidR="003A0F6F">
        <w:t>,</w:t>
      </w:r>
      <w:r w:rsidR="00E64FC4">
        <w:t xml:space="preserve"> well-</w:t>
      </w:r>
      <w:r w:rsidR="00744CC5">
        <w:t>networked, and well-connected.</w:t>
      </w:r>
      <w:r w:rsidR="00E91FC0">
        <w:t xml:space="preserve"> </w:t>
      </w:r>
    </w:p>
    <w:p w14:paraId="19369E71" w14:textId="77777777" w:rsidR="00A9350C" w:rsidRDefault="00C90520" w:rsidP="007179D6">
      <w:pPr>
        <w:pStyle w:val="ListParagraph"/>
        <w:numPr>
          <w:ilvl w:val="0"/>
          <w:numId w:val="24"/>
        </w:numPr>
        <w:spacing w:after="0"/>
      </w:pPr>
      <w:r>
        <w:t xml:space="preserve">Firearms laws and cultures in the USA are very different from New Zealand, but </w:t>
      </w:r>
      <w:r w:rsidR="00831172">
        <w:t>the United States of America’s Na</w:t>
      </w:r>
      <w:r w:rsidR="003A0F6F">
        <w:t>tional Rifle Association (NRA) attempts to influence firearms policies</w:t>
      </w:r>
      <w:r w:rsidR="006F7826">
        <w:t xml:space="preserve"> in</w:t>
      </w:r>
      <w:r w:rsidR="003A0F6F">
        <w:t xml:space="preserve"> other countries such as</w:t>
      </w:r>
      <w:r w:rsidR="00A9350C">
        <w:t xml:space="preserve"> Australia. </w:t>
      </w:r>
    </w:p>
    <w:p w14:paraId="5F691F61" w14:textId="1C3F3554" w:rsidR="00A9350C" w:rsidRDefault="001E7770" w:rsidP="007179D6">
      <w:pPr>
        <w:pStyle w:val="ListParagraph"/>
        <w:numPr>
          <w:ilvl w:val="0"/>
          <w:numId w:val="24"/>
        </w:numPr>
        <w:spacing w:after="0"/>
      </w:pPr>
      <w:r>
        <w:t xml:space="preserve">There appears to be no </w:t>
      </w:r>
      <w:r w:rsidR="006F2B35">
        <w:t xml:space="preserve">proof </w:t>
      </w:r>
      <w:r w:rsidR="00831172">
        <w:t>of recent financial support from the NRA</w:t>
      </w:r>
      <w:r w:rsidR="00C90520">
        <w:t xml:space="preserve"> to New Zealand groups</w:t>
      </w:r>
      <w:r w:rsidR="00831172">
        <w:t xml:space="preserve">, but NRA ideas and discourses have </w:t>
      </w:r>
      <w:r w:rsidR="003A0F6F">
        <w:t>clearly been adopted by firearms lobbyists in New Zealand</w:t>
      </w:r>
      <w:r w:rsidRPr="001E7770">
        <w:rPr>
          <w:vertAlign w:val="superscript"/>
        </w:rPr>
        <w:t>.</w:t>
      </w:r>
      <w:r w:rsidRPr="001E7770">
        <w:rPr>
          <w:vertAlign w:val="superscript"/>
        </w:rPr>
        <w:fldChar w:fldCharType="begin"/>
      </w:r>
      <w:r w:rsidR="00782536">
        <w:rPr>
          <w:vertAlign w:val="superscript"/>
        </w:rPr>
        <w:instrText xml:space="preserve"> ADDIN EN.CITE &lt;EndNote&gt;&lt;Cite&gt;&lt;Author&gt;Russell&lt;/Author&gt;&lt;Year&gt;2019 &lt;/Year&gt;&lt;RecNum&gt;283&lt;/RecNum&gt;&lt;DisplayText&gt;[14]&lt;/DisplayText&gt;&lt;record&gt;&lt;rec-number&gt;283&lt;/rec-number&gt;&lt;foreign-keys&gt;&lt;key app="EN" db-id="rfpw52atcxw998esway5r02srws0s0r5r2xd" timestamp="1554073580"&gt;283&lt;/key&gt;&lt;/foreign-keys&gt;&lt;ref-type name="Journal Article"&gt;17&lt;/ref-type&gt;&lt;contributors&gt;&lt;authors&gt;&lt;author&gt;Russell, Marie&lt;/author&gt;&lt;author&gt;Cook, Hera&lt;/author&gt;&lt;/authors&gt;&lt;/contributors&gt;&lt;titles&gt;&lt;title&gt;(forthcoming)&lt;/title&gt;&lt;/titles&gt;&lt;dates&gt;&lt;year&gt;2019 &lt;/year&gt;&lt;/dates&gt;&lt;urls&gt;&lt;/urls&gt;&lt;/record&gt;&lt;/Cite&gt;&lt;/EndNote&gt;</w:instrText>
      </w:r>
      <w:r w:rsidRPr="001E7770">
        <w:rPr>
          <w:vertAlign w:val="superscript"/>
        </w:rPr>
        <w:fldChar w:fldCharType="separate"/>
      </w:r>
      <w:r w:rsidR="00782536">
        <w:rPr>
          <w:noProof/>
          <w:vertAlign w:val="superscript"/>
        </w:rPr>
        <w:t>[14]</w:t>
      </w:r>
      <w:r w:rsidRPr="001E7770">
        <w:rPr>
          <w:vertAlign w:val="superscript"/>
        </w:rPr>
        <w:fldChar w:fldCharType="end"/>
      </w:r>
      <w:r w:rsidR="00831172">
        <w:t xml:space="preserve"> </w:t>
      </w:r>
    </w:p>
    <w:p w14:paraId="5EE5AD45" w14:textId="77777777" w:rsidR="00C90520" w:rsidRDefault="00A9350C" w:rsidP="007179D6">
      <w:pPr>
        <w:pStyle w:val="ListParagraph"/>
        <w:numPr>
          <w:ilvl w:val="0"/>
          <w:numId w:val="24"/>
        </w:numPr>
        <w:spacing w:after="0"/>
      </w:pPr>
      <w:r>
        <w:t xml:space="preserve">Some New Zealand </w:t>
      </w:r>
      <w:r w:rsidR="00831172">
        <w:t xml:space="preserve">lobbyists are personal members of the </w:t>
      </w:r>
      <w:r>
        <w:t xml:space="preserve">USA’s </w:t>
      </w:r>
      <w:r w:rsidR="00831172">
        <w:t>NRA</w:t>
      </w:r>
      <w:r w:rsidR="003A0F6F">
        <w:t>.</w:t>
      </w:r>
    </w:p>
    <w:p w14:paraId="2C351286" w14:textId="03C89A1F" w:rsidR="00A9350C" w:rsidRDefault="003A0F6F" w:rsidP="007179D6">
      <w:pPr>
        <w:pStyle w:val="ListParagraph"/>
        <w:numPr>
          <w:ilvl w:val="0"/>
          <w:numId w:val="24"/>
        </w:numPr>
      </w:pPr>
      <w:r>
        <w:t>T</w:t>
      </w:r>
      <w:r w:rsidR="0084403B">
        <w:t>he gun lobby</w:t>
      </w:r>
      <w:r w:rsidR="00A9350C">
        <w:t xml:space="preserve"> showed its influence </w:t>
      </w:r>
      <w:r w:rsidR="0084403B">
        <w:t>in 2017</w:t>
      </w:r>
      <w:r w:rsidR="00C90520">
        <w:t xml:space="preserve"> when a public outcry against firearms in school</w:t>
      </w:r>
      <w:r w:rsidR="00D44974">
        <w:t>s</w:t>
      </w:r>
      <w:r w:rsidR="00C90520">
        <w:t xml:space="preserve"> arose</w:t>
      </w:r>
      <w:r w:rsidR="00D44974">
        <w:t>.</w:t>
      </w:r>
      <w:r w:rsidR="00C90520">
        <w:t xml:space="preserve"> </w:t>
      </w:r>
      <w:r w:rsidR="00D44974">
        <w:t>T</w:t>
      </w:r>
      <w:r w:rsidR="00C90520">
        <w:t xml:space="preserve">he Ministry of Education </w:t>
      </w:r>
      <w:r w:rsidR="006F2B35">
        <w:t>expanded its Health and Safety Sector Reference G</w:t>
      </w:r>
      <w:r w:rsidR="0084403B">
        <w:t xml:space="preserve">roup </w:t>
      </w:r>
      <w:r w:rsidR="00D44974">
        <w:t>to develop guidelines about firearms in schools.</w:t>
      </w:r>
      <w:r w:rsidR="00D44974" w:rsidRPr="007179D6">
        <w:rPr>
          <w:vertAlign w:val="superscript"/>
        </w:rPr>
        <w:fldChar w:fldCharType="begin"/>
      </w:r>
      <w:r w:rsidR="00782536">
        <w:rPr>
          <w:vertAlign w:val="superscript"/>
        </w:rPr>
        <w:instrText xml:space="preserve"> ADDIN EN.CITE &lt;EndNote&gt;&lt;Cite&gt;&lt;Author&gt;Russell&lt;/Author&gt;&lt;Year&gt;2018, 28 March&lt;/Year&gt;&lt;RecNum&gt;277&lt;/RecNum&gt;&lt;DisplayText&gt;[15, 16]&lt;/DisplayText&gt;&lt;record&gt;&lt;rec-number&gt;277&lt;/rec-number&gt;&lt;foreign-keys&gt;&lt;key app="EN" db-id="rfpw52atcxw998esway5r02srws0s0r5r2xd" timestamp="1553918044"&gt;277&lt;/key&gt;&lt;/foreign-keys&gt;&lt;ref-type name="Newspaper Article"&gt;23&lt;/ref-type&gt;&lt;contributors&gt;&lt;authors&gt;&lt;author&gt;Russell, Marie&lt;/author&gt;&lt;/authors&gt;&lt;/contributors&gt;&lt;titles&gt;&lt;title&gt;When should New Zealand schools have guns?&lt;/title&gt;&lt;secondary-title&gt;New Zealand Herald&lt;/secondary-title&gt;&lt;/titles&gt;&lt;dates&gt;&lt;year&gt;2018, 28 March&lt;/year&gt;&lt;/dates&gt;&lt;pub-location&gt;Auckland&lt;/pub-location&gt;&lt;urls&gt;&lt;/urls&gt;&lt;/record&gt;&lt;/Cite&gt;&lt;Cite&gt;&lt;Author&gt;Ministry of Education&lt;/Author&gt;&lt;Year&gt;2018, July&lt;/Year&gt;&lt;RecNum&gt;280&lt;/RecNum&gt;&lt;record&gt;&lt;rec-number&gt;280&lt;/rec-number&gt;&lt;foreign-keys&gt;&lt;key app="EN" db-id="rfpw52atcxw998esway5r02srws0s0r5r2xd" timestamp="1553921429"&gt;280&lt;/key&gt;&lt;/foreign-keys&gt;&lt;ref-type name="Report"&gt;27&lt;/ref-type&gt;&lt;contributors&gt;&lt;authors&gt;&lt;author&gt;Ministry of Education, &lt;/author&gt;&lt;/authors&gt;&lt;/contributors&gt;&lt;titles&gt;&lt;title&gt;Guidelines for schools developing a firearms policy: Developing policy on firearms activities/events involving students&lt;/title&gt;&lt;/titles&gt;&lt;dates&gt;&lt;year&gt;2018, July&lt;/year&gt;&lt;/dates&gt;&lt;pub-location&gt;Wellington &lt;/pub-location&gt;&lt;urls&gt;&lt;related-urls&gt;&lt;url&gt;https://education.govt.nz/assets/Documents/Firearms/Firearms-in-Schools-Guidelines-and-Tool-Kit.pdf &lt;/url&gt;&lt;/related-urls&gt;&lt;/urls&gt;&lt;/record&gt;&lt;/Cite&gt;&lt;/EndNote&gt;</w:instrText>
      </w:r>
      <w:r w:rsidR="00D44974" w:rsidRPr="007179D6">
        <w:rPr>
          <w:vertAlign w:val="superscript"/>
        </w:rPr>
        <w:fldChar w:fldCharType="separate"/>
      </w:r>
      <w:r w:rsidR="00782536">
        <w:rPr>
          <w:noProof/>
          <w:vertAlign w:val="superscript"/>
        </w:rPr>
        <w:t>[15, 16]</w:t>
      </w:r>
      <w:r w:rsidR="00D44974" w:rsidRPr="007179D6">
        <w:rPr>
          <w:vertAlign w:val="superscript"/>
        </w:rPr>
        <w:fldChar w:fldCharType="end"/>
      </w:r>
      <w:r w:rsidR="00D44974">
        <w:t xml:space="preserve"> </w:t>
      </w:r>
    </w:p>
    <w:p w14:paraId="0B146C16" w14:textId="77777777" w:rsidR="00A9350C" w:rsidRDefault="0084403B" w:rsidP="007179D6">
      <w:pPr>
        <w:pStyle w:val="ListParagraph"/>
        <w:numPr>
          <w:ilvl w:val="0"/>
          <w:numId w:val="24"/>
        </w:numPr>
      </w:pPr>
      <w:r>
        <w:t xml:space="preserve">While half of the 48 people in the group were Ministry </w:t>
      </w:r>
      <w:r w:rsidR="001E7770">
        <w:t>people and educators</w:t>
      </w:r>
      <w:r>
        <w:t>,</w:t>
      </w:r>
      <w:r w:rsidR="00D44974">
        <w:t xml:space="preserve"> with some</w:t>
      </w:r>
      <w:r>
        <w:t xml:space="preserve"> relevant government agencies</w:t>
      </w:r>
      <w:r w:rsidR="00D44974">
        <w:t xml:space="preserve"> also</w:t>
      </w:r>
      <w:r>
        <w:t xml:space="preserve"> represented, one-third of the 48 pe</w:t>
      </w:r>
      <w:r w:rsidR="003A0F6F">
        <w:t>ople were from shooters’ groups.</w:t>
      </w:r>
      <w:r>
        <w:t xml:space="preserve"> </w:t>
      </w:r>
      <w:r w:rsidR="003A0F6F">
        <w:t>H</w:t>
      </w:r>
      <w:r>
        <w:t>ealth</w:t>
      </w:r>
      <w:r w:rsidR="00D44974">
        <w:t xml:space="preserve"> specialists</w:t>
      </w:r>
      <w:r>
        <w:t xml:space="preserve"> in this Health an</w:t>
      </w:r>
      <w:r w:rsidR="003A0F6F">
        <w:t>d Safety Group numbered</w:t>
      </w:r>
      <w:r w:rsidR="00D44974">
        <w:t xml:space="preserve"> zero. </w:t>
      </w:r>
    </w:p>
    <w:p w14:paraId="29832D75" w14:textId="77777777" w:rsidR="00A9350C" w:rsidRDefault="0084403B" w:rsidP="007179D6">
      <w:pPr>
        <w:pStyle w:val="ListParagraph"/>
        <w:numPr>
          <w:ilvl w:val="0"/>
          <w:numId w:val="24"/>
        </w:numPr>
      </w:pPr>
      <w:r>
        <w:t>The gun lobby ensured that the Ministry</w:t>
      </w:r>
      <w:r w:rsidR="00D44974">
        <w:t xml:space="preserve"> </w:t>
      </w:r>
      <w:r w:rsidR="001E7770">
        <w:t xml:space="preserve">decided against keeping </w:t>
      </w:r>
      <w:r>
        <w:t>a register of schools with guns</w:t>
      </w:r>
      <w:r w:rsidR="00D44974">
        <w:t xml:space="preserve">; consequently, </w:t>
      </w:r>
      <w:r>
        <w:t xml:space="preserve">no-one at the Ministry knows which schools have guns. </w:t>
      </w:r>
    </w:p>
    <w:p w14:paraId="2873B474" w14:textId="3D69FF33" w:rsidR="00A9350C" w:rsidRDefault="0084403B" w:rsidP="007179D6">
      <w:pPr>
        <w:pStyle w:val="ListParagraph"/>
        <w:numPr>
          <w:ilvl w:val="0"/>
          <w:numId w:val="24"/>
        </w:numPr>
      </w:pPr>
      <w:r>
        <w:t>The gun lobby’s discourse often focuses on gun crime, and the need to punish criminals</w:t>
      </w:r>
      <w:r w:rsidR="00EA7A2C">
        <w:t>—</w:t>
      </w:r>
      <w:r>
        <w:t>even though crim</w:t>
      </w:r>
      <w:r w:rsidR="00544320">
        <w:t>e has been falling since the 199</w:t>
      </w:r>
      <w:r>
        <w:t>0s</w:t>
      </w:r>
      <w:r w:rsidR="001E7770">
        <w:t xml:space="preserve"> in New Zealand as elsewhere,</w:t>
      </w:r>
      <w:r w:rsidR="00544320" w:rsidRPr="007179D6">
        <w:rPr>
          <w:vertAlign w:val="superscript"/>
        </w:rPr>
        <w:fldChar w:fldCharType="begin"/>
      </w:r>
      <w:r w:rsidR="00782536">
        <w:rPr>
          <w:vertAlign w:val="superscript"/>
        </w:rPr>
        <w:instrText xml:space="preserve"> ADDIN EN.CITE &lt;EndNote&gt;&lt;Cite&gt;&lt;Author&gt;Mayhew&lt;/Author&gt;&lt;Year&gt;2012&lt;/Year&gt;&lt;RecNum&gt;266&lt;/RecNum&gt;&lt;DisplayText&gt;[17]&lt;/DisplayText&gt;&lt;record&gt;&lt;rec-number&gt;266&lt;/rec-number&gt;&lt;foreign-keys&gt;&lt;key app="EN" db-id="rfpw52atcxw998esway5r02srws0s0r5r2xd" timestamp="1541629309"&gt;266&lt;/key&gt;&lt;/foreign-keys&gt;&lt;ref-type name="Book Section"&gt;5&lt;/ref-type&gt;&lt;contributors&gt;&lt;authors&gt;&lt;author&gt;Mayhew, Pat&lt;/author&gt;&lt;/authors&gt;&lt;secondary-authors&gt;&lt;author&gt;van Dijk, Jan&lt;/author&gt;&lt;author&gt;Tseloni, Andromachi&lt;/author&gt;&lt;author&gt;Farrell, Graham&lt;/author&gt;&lt;/secondary-authors&gt;&lt;/contributors&gt;&lt;titles&gt;&lt;title&gt;The Case of Australia and New Zealand&lt;/title&gt;&lt;secondary-title&gt;The International Crime Drop: New Directions in Research&lt;/secondary-title&gt;&lt;/titles&gt;&lt;pages&gt;76-102&lt;/pages&gt;&lt;dates&gt;&lt;year&gt;2012&lt;/year&gt;&lt;/dates&gt;&lt;pub-location&gt;London&lt;/pub-location&gt;&lt;publisher&gt;Palgrave Macmillan UK&lt;/publisher&gt;&lt;isbn&gt;978-1-137-29146-2&lt;/isbn&gt;&lt;label&gt;Mayhew2012&lt;/label&gt;&lt;urls&gt;&lt;related-urls&gt;&lt;url&gt;https://doi.org/10.1057/9781137291462_4&lt;/url&gt;&lt;/related-urls&gt;&lt;/urls&gt;&lt;electronic-resource-num&gt;10.1057/9781137291462_4&lt;/electronic-resource-num&gt;&lt;/record&gt;&lt;/Cite&gt;&lt;/EndNote&gt;</w:instrText>
      </w:r>
      <w:r w:rsidR="00544320" w:rsidRPr="007179D6">
        <w:rPr>
          <w:vertAlign w:val="superscript"/>
        </w:rPr>
        <w:fldChar w:fldCharType="separate"/>
      </w:r>
      <w:r w:rsidR="00782536">
        <w:rPr>
          <w:noProof/>
          <w:vertAlign w:val="superscript"/>
        </w:rPr>
        <w:t>[17]</w:t>
      </w:r>
      <w:r w:rsidR="00544320" w:rsidRPr="007179D6">
        <w:rPr>
          <w:vertAlign w:val="superscript"/>
        </w:rPr>
        <w:fldChar w:fldCharType="end"/>
      </w:r>
      <w:r w:rsidR="00544320">
        <w:t xml:space="preserve"> </w:t>
      </w:r>
      <w:r w:rsidR="001E7770">
        <w:t>and the main problem with firearms is</w:t>
      </w:r>
      <w:r w:rsidR="006F2B35">
        <w:t xml:space="preserve"> not crime but</w:t>
      </w:r>
      <w:r w:rsidR="001E7770">
        <w:t xml:space="preserve"> suicide</w:t>
      </w:r>
      <w:r w:rsidR="006A3595">
        <w:t xml:space="preserve"> and the potential for mass shootings</w:t>
      </w:r>
      <w:r w:rsidR="001E7770">
        <w:t>.</w:t>
      </w:r>
    </w:p>
    <w:p w14:paraId="79DE7C89" w14:textId="1C3AD2EE" w:rsidR="00544320" w:rsidRDefault="0084403B" w:rsidP="007179D6">
      <w:pPr>
        <w:pStyle w:val="ListParagraph"/>
        <w:numPr>
          <w:ilvl w:val="0"/>
          <w:numId w:val="24"/>
        </w:numPr>
      </w:pPr>
      <w:r>
        <w:t xml:space="preserve">Another </w:t>
      </w:r>
      <w:r w:rsidR="001E7770">
        <w:t xml:space="preserve">gun lobby </w:t>
      </w:r>
      <w:r>
        <w:t xml:space="preserve">focus </w:t>
      </w:r>
      <w:r w:rsidR="00544320">
        <w:t xml:space="preserve">is </w:t>
      </w:r>
      <w:r>
        <w:t xml:space="preserve">gun violence as </w:t>
      </w:r>
      <w:r w:rsidR="00544320">
        <w:t xml:space="preserve">related to </w:t>
      </w:r>
      <w:r>
        <w:t xml:space="preserve">mental </w:t>
      </w:r>
      <w:r w:rsidR="00EA7A2C">
        <w:t>illness</w:t>
      </w:r>
      <w:r w:rsidR="00DD37F3">
        <w:t>. Yet ‘</w:t>
      </w:r>
      <w:r w:rsidR="00544320">
        <w:t>m</w:t>
      </w:r>
      <w:r w:rsidR="00945FA4" w:rsidRPr="00945FA4">
        <w:t>ost violent individuals do not have mental illness, and most mass murderers do not have identifiable severe mental illness. Many have maladaptive personality configurations. Gun availability and gun ownership, not severe mental illness, determines most gun homicides</w:t>
      </w:r>
      <w:r w:rsidR="00DD37F3">
        <w:t>’.</w:t>
      </w:r>
      <w:r w:rsidR="00544320" w:rsidRPr="007179D6">
        <w:rPr>
          <w:vertAlign w:val="superscript"/>
        </w:rPr>
        <w:fldChar w:fldCharType="begin"/>
      </w:r>
      <w:r w:rsidR="00782536">
        <w:rPr>
          <w:vertAlign w:val="superscript"/>
        </w:rPr>
        <w:instrText xml:space="preserve"> ADDIN EN.CITE &lt;EndNote&gt;&lt;Cite&gt;&lt;Author&gt;Dudley&lt;/Author&gt;&lt;Year&gt;2016&lt;/Year&gt;&lt;RecNum&gt;269&lt;/RecNum&gt;&lt;DisplayText&gt;[18]&lt;/DisplayText&gt;&lt;record&gt;&lt;rec-number&gt;269&lt;/rec-number&gt;&lt;foreign-keys&gt;&lt;key app="EN" db-id="rfpw52atcxw998esway5r02srws0s0r5r2xd" timestamp="1553562057"&gt;269&lt;/key&gt;&lt;/foreign-keys&gt;&lt;ref-type name="Journal Article"&gt;17&lt;/ref-type&gt;&lt;contributors&gt;&lt;authors&gt;&lt;author&gt;Dudley, Michael J&lt;/author&gt;&lt;author&gt;Rosen, Alan&lt;/author&gt;&lt;author&gt;Alpers, Philip A&lt;/author&gt;&lt;author&gt;Peters, Rebecca&lt;/author&gt;&lt;/authors&gt;&lt;/contributors&gt;&lt;titles&gt;&lt;title&gt;The Port Arthur massacre and the National Firearms Agreement: 20 years on, what are the lessons?&lt;/title&gt;&lt;secondary-title&gt;Medical Journal of Australia&lt;/secondary-title&gt;&lt;/titles&gt;&lt;periodical&gt;&lt;full-title&gt;Medical Journal of Australia&lt;/full-title&gt;&lt;/periodical&gt;&lt;pages&gt;381-383&lt;/pages&gt;&lt;volume&gt;204&lt;/volume&gt;&lt;number&gt;10&lt;/number&gt;&lt;dates&gt;&lt;year&gt;2016&lt;/year&gt;&lt;/dates&gt;&lt;isbn&gt;0025-729X&lt;/isbn&gt;&lt;urls&gt;&lt;related-urls&gt;&lt;url&gt;https://onlinelibrary.wiley.com/doi/abs/10.5694/mja16.00293&lt;/url&gt;&lt;/related-urls&gt;&lt;/urls&gt;&lt;electronic-resource-num&gt;10.5694/mja16.00293&lt;/electronic-resource-num&gt;&lt;/record&gt;&lt;/Cite&gt;&lt;/EndNote&gt;</w:instrText>
      </w:r>
      <w:r w:rsidR="00544320" w:rsidRPr="007179D6">
        <w:rPr>
          <w:vertAlign w:val="superscript"/>
        </w:rPr>
        <w:fldChar w:fldCharType="separate"/>
      </w:r>
      <w:r w:rsidR="00782536">
        <w:rPr>
          <w:noProof/>
          <w:vertAlign w:val="superscript"/>
        </w:rPr>
        <w:t>[18]</w:t>
      </w:r>
      <w:r w:rsidR="00544320" w:rsidRPr="007179D6">
        <w:rPr>
          <w:vertAlign w:val="superscript"/>
        </w:rPr>
        <w:fldChar w:fldCharType="end"/>
      </w:r>
      <w:r w:rsidR="00DD37F3">
        <w:t xml:space="preserve"> </w:t>
      </w:r>
      <w:r w:rsidR="00945FA4">
        <w:t xml:space="preserve"> </w:t>
      </w:r>
    </w:p>
    <w:p w14:paraId="64E7D1BD" w14:textId="426D9312" w:rsidR="001A766F" w:rsidRDefault="00544320" w:rsidP="008B0B27">
      <w:pPr>
        <w:pStyle w:val="ListParagraph"/>
        <w:numPr>
          <w:ilvl w:val="0"/>
          <w:numId w:val="24"/>
        </w:numPr>
      </w:pPr>
      <w:r>
        <w:lastRenderedPageBreak/>
        <w:t>New</w:t>
      </w:r>
      <w:r w:rsidR="00DD37F3">
        <w:t xml:space="preserve"> Zealand previously had an</w:t>
      </w:r>
      <w:r w:rsidR="007179D6">
        <w:t xml:space="preserve"> active</w:t>
      </w:r>
      <w:r w:rsidR="00DD37F3">
        <w:t xml:space="preserve"> gun-control lobby in ‘</w:t>
      </w:r>
      <w:proofErr w:type="spellStart"/>
      <w:r w:rsidR="00DD37F3">
        <w:t>Gunsafe</w:t>
      </w:r>
      <w:proofErr w:type="spellEnd"/>
      <w:r w:rsidR="00DD37F3">
        <w:t>’</w:t>
      </w:r>
      <w:r>
        <w:t xml:space="preserve"> (started 1992) whose members</w:t>
      </w:r>
      <w:r w:rsidR="00DD37F3">
        <w:t xml:space="preserve"> were vilified and threatened</w:t>
      </w:r>
      <w:r>
        <w:t>.</w:t>
      </w:r>
      <w:r w:rsidRPr="007179D6">
        <w:rPr>
          <w:vertAlign w:val="superscript"/>
        </w:rPr>
        <w:fldChar w:fldCharType="begin"/>
      </w:r>
      <w:r w:rsidR="00782536">
        <w:rPr>
          <w:vertAlign w:val="superscript"/>
        </w:rPr>
        <w:instrText xml:space="preserve"> ADDIN EN.CITE &lt;EndNote&gt;&lt;Cite&gt;&lt;Author&gt;Bingham&lt;/Author&gt;&lt;Year&gt;2006, 15 December&lt;/Year&gt;&lt;RecNum&gt;279&lt;/RecNum&gt;&lt;DisplayText&gt;[19]&lt;/DisplayText&gt;&lt;record&gt;&lt;rec-number&gt;279&lt;/rec-number&gt;&lt;foreign-keys&gt;&lt;key app="EN" db-id="rfpw52atcxw998esway5r02srws0s0r5r2xd" timestamp="1553919823"&gt;279&lt;/key&gt;&lt;/foreign-keys&gt;&lt;ref-type name="Newspaper Article"&gt;23&lt;/ref-type&gt;&lt;contributors&gt;&lt;authors&gt;&lt;author&gt;Bingham, Eugene&lt;/author&gt;&lt;/authors&gt;&lt;/contributors&gt;&lt;titles&gt;&lt;title&gt;Staunch in the line of fire&lt;/title&gt;&lt;secondary-title&gt;New Zealand Herald&lt;/secondary-title&gt;&lt;/titles&gt;&lt;dates&gt;&lt;year&gt;2006, 15 December&lt;/year&gt;&lt;/dates&gt;&lt;pub-location&gt;Auckland&lt;/pub-location&gt;&lt;urls&gt;&lt;/urls&gt;&lt;/record&gt;&lt;/Cite&gt;&lt;/EndNote&gt;</w:instrText>
      </w:r>
      <w:r w:rsidRPr="007179D6">
        <w:rPr>
          <w:vertAlign w:val="superscript"/>
        </w:rPr>
        <w:fldChar w:fldCharType="separate"/>
      </w:r>
      <w:r w:rsidR="00782536">
        <w:rPr>
          <w:noProof/>
          <w:vertAlign w:val="superscript"/>
        </w:rPr>
        <w:t>[19]</w:t>
      </w:r>
      <w:r w:rsidRPr="007179D6">
        <w:rPr>
          <w:vertAlign w:val="superscript"/>
        </w:rPr>
        <w:fldChar w:fldCharType="end"/>
      </w:r>
      <w:r>
        <w:t xml:space="preserve"> </w:t>
      </w:r>
      <w:r w:rsidR="00DD37F3">
        <w:t xml:space="preserve">This organisation petered out in the </w:t>
      </w:r>
      <w:r>
        <w:t xml:space="preserve">later </w:t>
      </w:r>
      <w:r w:rsidR="00DD37F3">
        <w:t>1990s. Since then</w:t>
      </w:r>
      <w:r w:rsidR="00EA7A2C">
        <w:t>,</w:t>
      </w:r>
      <w:r w:rsidR="00DD37F3">
        <w:t xml:space="preserve"> public health groups, peace organisations</w:t>
      </w:r>
      <w:r w:rsidR="00F6675E">
        <w:t xml:space="preserve"> and some academics </w:t>
      </w:r>
      <w:r w:rsidR="00C7133E">
        <w:t xml:space="preserve">have worked on firearms policy issues, but no broad organisation </w:t>
      </w:r>
      <w:r w:rsidR="00EA7A2C">
        <w:t xml:space="preserve">has </w:t>
      </w:r>
      <w:r w:rsidR="00C7133E">
        <w:t>prese</w:t>
      </w:r>
      <w:r w:rsidR="00EA7A2C">
        <w:t xml:space="preserve">nted a firearms control view. </w:t>
      </w:r>
    </w:p>
    <w:p w14:paraId="3CFE60EF" w14:textId="20201BB7" w:rsidR="001A69DA" w:rsidRDefault="00F6675E" w:rsidP="008B0B27">
      <w:pPr>
        <w:pStyle w:val="ListParagraph"/>
        <w:numPr>
          <w:ilvl w:val="0"/>
          <w:numId w:val="24"/>
        </w:numPr>
      </w:pPr>
      <w:r>
        <w:t>The government should consult g</w:t>
      </w:r>
      <w:r w:rsidR="001A69DA">
        <w:t xml:space="preserve">un control advocates </w:t>
      </w:r>
      <w:r>
        <w:t xml:space="preserve">as well as </w:t>
      </w:r>
      <w:r w:rsidR="001A69DA">
        <w:t>gun lobbyists</w:t>
      </w:r>
      <w:r>
        <w:t xml:space="preserve"> and shooters.</w:t>
      </w:r>
    </w:p>
    <w:p w14:paraId="1D364734" w14:textId="77777777" w:rsidR="00782536" w:rsidRPr="00782536" w:rsidRDefault="001A766F" w:rsidP="00782536">
      <w:pPr>
        <w:pStyle w:val="EndNoteBibliographyTitle"/>
        <w:rPr>
          <w:b/>
        </w:rPr>
      </w:pPr>
      <w:r w:rsidRPr="00F01842">
        <w:fldChar w:fldCharType="begin"/>
      </w:r>
      <w:r w:rsidRPr="00F01842">
        <w:instrText xml:space="preserve"> ADDIN EN.REFLIST </w:instrText>
      </w:r>
      <w:r w:rsidRPr="00F01842">
        <w:fldChar w:fldCharType="separate"/>
      </w:r>
      <w:r w:rsidR="00782536" w:rsidRPr="00782536">
        <w:rPr>
          <w:b/>
        </w:rPr>
        <w:t>REFERENCES</w:t>
      </w:r>
    </w:p>
    <w:p w14:paraId="7C11F5B9" w14:textId="77777777" w:rsidR="00782536" w:rsidRPr="00782536" w:rsidRDefault="00782536" w:rsidP="00782536">
      <w:pPr>
        <w:pStyle w:val="EndNoteBibliographyTitle"/>
        <w:rPr>
          <w:b/>
        </w:rPr>
      </w:pPr>
    </w:p>
    <w:p w14:paraId="7F8C643D" w14:textId="77777777" w:rsidR="00782536" w:rsidRPr="00782536" w:rsidRDefault="00782536" w:rsidP="00782536">
      <w:pPr>
        <w:pStyle w:val="EndNoteBibliography"/>
        <w:spacing w:after="0"/>
        <w:ind w:left="720" w:hanging="720"/>
      </w:pPr>
      <w:r w:rsidRPr="00782536">
        <w:t>1.</w:t>
      </w:r>
      <w:r w:rsidRPr="00782536">
        <w:tab/>
        <w:t xml:space="preserve">Telfar-Barnard, L., </w:t>
      </w:r>
      <w:r w:rsidRPr="00782536">
        <w:rPr>
          <w:i/>
        </w:rPr>
        <w:t>New Zealand firearm hospitalisation and mortality rates and costs. Personal Communication</w:t>
      </w:r>
      <w:r w:rsidRPr="00782536">
        <w:t>, M. Russell, Editor. 2019.</w:t>
      </w:r>
    </w:p>
    <w:p w14:paraId="030842F6" w14:textId="77777777" w:rsidR="00782536" w:rsidRPr="00782536" w:rsidRDefault="00782536" w:rsidP="00782536">
      <w:pPr>
        <w:pStyle w:val="EndNoteBibliography"/>
        <w:spacing w:after="0"/>
        <w:ind w:left="720" w:hanging="720"/>
      </w:pPr>
      <w:r w:rsidRPr="00782536">
        <w:t>2.</w:t>
      </w:r>
      <w:r w:rsidRPr="00782536">
        <w:tab/>
        <w:t xml:space="preserve">Beautrais, A.L., </w:t>
      </w:r>
      <w:r w:rsidRPr="00782536">
        <w:rPr>
          <w:i/>
        </w:rPr>
        <w:t>Farm suicides in New Zealand, 2007–2015: A review of coroners’ records.</w:t>
      </w:r>
      <w:r w:rsidRPr="00782536">
        <w:t xml:space="preserve"> Australian &amp; New Zealand Journal of Psychiatry, 2018. </w:t>
      </w:r>
      <w:r w:rsidRPr="00782536">
        <w:rPr>
          <w:b/>
        </w:rPr>
        <w:t>52</w:t>
      </w:r>
      <w:r w:rsidRPr="00782536">
        <w:t>(1): p. 78-86.</w:t>
      </w:r>
    </w:p>
    <w:p w14:paraId="1380D773" w14:textId="54A6F054" w:rsidR="00782536" w:rsidRPr="00782536" w:rsidRDefault="00782536" w:rsidP="00782536">
      <w:pPr>
        <w:pStyle w:val="EndNoteBibliography"/>
        <w:spacing w:after="0"/>
        <w:ind w:left="720" w:hanging="720"/>
      </w:pPr>
      <w:r w:rsidRPr="00782536">
        <w:t>3.</w:t>
      </w:r>
      <w:r w:rsidRPr="00782536">
        <w:tab/>
        <w:t xml:space="preserve">Scahill, C., </w:t>
      </w:r>
      <w:r w:rsidRPr="00782536">
        <w:rPr>
          <w:i/>
        </w:rPr>
        <w:t xml:space="preserve">Official Information Act Disclosure, IR-01-18-17024  </w:t>
      </w:r>
      <w:hyperlink r:id="rId15" w:history="1">
        <w:r w:rsidRPr="00782536">
          <w:rPr>
            <w:rStyle w:val="Hyperlink"/>
            <w:i/>
          </w:rPr>
          <w:t>https://www.police.govt.nz/sites/default/files/publications/25-nov-2018-ir-01-18-17024.pdf</w:t>
        </w:r>
      </w:hyperlink>
      <w:r w:rsidRPr="00782536">
        <w:rPr>
          <w:i/>
        </w:rPr>
        <w:t xml:space="preserve"> </w:t>
      </w:r>
      <w:r w:rsidRPr="00782536">
        <w:t xml:space="preserve">New Zealand Police, Editor. 2018, 17 December: Wellington </w:t>
      </w:r>
    </w:p>
    <w:p w14:paraId="3D8DDA36" w14:textId="3EA34946" w:rsidR="00782536" w:rsidRPr="00782536" w:rsidRDefault="00782536" w:rsidP="00782536">
      <w:pPr>
        <w:pStyle w:val="EndNoteBibliography"/>
        <w:spacing w:after="0"/>
        <w:ind w:left="720" w:hanging="720"/>
      </w:pPr>
      <w:r w:rsidRPr="00782536">
        <w:t>4.</w:t>
      </w:r>
      <w:r w:rsidRPr="00782536">
        <w:tab/>
        <w:t xml:space="preserve">Scahill, C., </w:t>
      </w:r>
      <w:r w:rsidRPr="00782536">
        <w:rPr>
          <w:i/>
        </w:rPr>
        <w:t>Official Information Act Disclosure IR-01-18-11101, http//</w:t>
      </w:r>
      <w:hyperlink r:id="rId16" w:history="1">
        <w:r w:rsidRPr="00782536">
          <w:rPr>
            <w:rStyle w:val="Hyperlink"/>
            <w:i/>
          </w:rPr>
          <w:t>www.police.govt.nz/sites/default/files/publications/14-sep-2018-ir-01-18-11101.pdf</w:t>
        </w:r>
      </w:hyperlink>
      <w:r w:rsidRPr="00782536">
        <w:t>, New Zealand Police, Editor. 2018, 29 November: Wellington.</w:t>
      </w:r>
    </w:p>
    <w:p w14:paraId="7478C84D" w14:textId="5265FB08" w:rsidR="00782536" w:rsidRPr="00782536" w:rsidRDefault="00782536" w:rsidP="00782536">
      <w:pPr>
        <w:pStyle w:val="EndNoteBibliography"/>
        <w:spacing w:after="0"/>
        <w:ind w:left="720" w:hanging="720"/>
      </w:pPr>
      <w:r w:rsidRPr="00782536">
        <w:t>5.</w:t>
      </w:r>
      <w:r w:rsidRPr="00782536">
        <w:tab/>
        <w:t xml:space="preserve">McIlraith, M., </w:t>
      </w:r>
      <w:r w:rsidRPr="00782536">
        <w:rPr>
          <w:i/>
        </w:rPr>
        <w:t xml:space="preserve">Official Information Act Disclosure, 16/7782/118 </w:t>
      </w:r>
      <w:hyperlink r:id="rId17" w:history="1">
        <w:r w:rsidRPr="00782536">
          <w:rPr>
            <w:rStyle w:val="Hyperlink"/>
            <w:i/>
          </w:rPr>
          <w:t>https://www.police.govt.nz/sites/default/files/publications/16-7782-118.pdf</w:t>
        </w:r>
      </w:hyperlink>
      <w:r w:rsidRPr="00782536">
        <w:rPr>
          <w:i/>
        </w:rPr>
        <w:t xml:space="preserve"> </w:t>
      </w:r>
      <w:r w:rsidRPr="00782536">
        <w:t>New Zealand Police, Editor. 2018, 7 March: Wellington.</w:t>
      </w:r>
    </w:p>
    <w:p w14:paraId="56F257EA" w14:textId="19CC362D" w:rsidR="00782536" w:rsidRPr="00782536" w:rsidRDefault="00782536" w:rsidP="00782536">
      <w:pPr>
        <w:pStyle w:val="EndNoteBibliography"/>
        <w:spacing w:after="0"/>
        <w:ind w:left="720" w:hanging="720"/>
      </w:pPr>
      <w:r w:rsidRPr="00782536">
        <w:t>6.</w:t>
      </w:r>
      <w:r w:rsidRPr="00782536">
        <w:tab/>
        <w:t xml:space="preserve">McIlraith, M., </w:t>
      </w:r>
      <w:r w:rsidRPr="00782536">
        <w:rPr>
          <w:i/>
        </w:rPr>
        <w:t xml:space="preserve">Official Information Act Disclosure  IR-01-18-12383  </w:t>
      </w:r>
      <w:hyperlink r:id="rId18" w:history="1">
        <w:r w:rsidRPr="00782536">
          <w:rPr>
            <w:rStyle w:val="Hyperlink"/>
            <w:i/>
          </w:rPr>
          <w:t>https://www.police.govt.nz/sites/default/files/publications/26-sep-2018-ir-01-18-12383.pdf</w:t>
        </w:r>
      </w:hyperlink>
      <w:r w:rsidRPr="00782536">
        <w:rPr>
          <w:i/>
        </w:rPr>
        <w:t xml:space="preserve"> </w:t>
      </w:r>
      <w:r w:rsidRPr="00782536">
        <w:t>New Zealand Police, Editor. 2018,  29 November: Wellington.</w:t>
      </w:r>
    </w:p>
    <w:p w14:paraId="338B0C71" w14:textId="77777777" w:rsidR="00782536" w:rsidRPr="00782536" w:rsidRDefault="00782536" w:rsidP="00782536">
      <w:pPr>
        <w:pStyle w:val="EndNoteBibliography"/>
        <w:spacing w:after="0"/>
        <w:ind w:left="720" w:hanging="720"/>
      </w:pPr>
      <w:r w:rsidRPr="00782536">
        <w:t>7.</w:t>
      </w:r>
      <w:r w:rsidRPr="00782536">
        <w:tab/>
        <w:t xml:space="preserve">Thorp, T.M., </w:t>
      </w:r>
      <w:r w:rsidRPr="00782536">
        <w:rPr>
          <w:i/>
        </w:rPr>
        <w:t>Review of firearms control in New Zealand: Report of an independent inquiry commissioned by the Minister of Police</w:t>
      </w:r>
      <w:r w:rsidRPr="00782536">
        <w:t>. 1997, GP Print: Wellington.</w:t>
      </w:r>
    </w:p>
    <w:p w14:paraId="7573E817" w14:textId="77777777" w:rsidR="00782536" w:rsidRPr="00782536" w:rsidRDefault="00782536" w:rsidP="00782536">
      <w:pPr>
        <w:pStyle w:val="EndNoteBibliography"/>
        <w:spacing w:after="0"/>
        <w:ind w:left="720" w:hanging="720"/>
      </w:pPr>
      <w:r w:rsidRPr="00782536">
        <w:t>8.</w:t>
      </w:r>
      <w:r w:rsidRPr="00782536">
        <w:tab/>
        <w:t xml:space="preserve">New Zealand Customs Service, </w:t>
      </w:r>
      <w:r w:rsidRPr="00782536">
        <w:rPr>
          <w:i/>
        </w:rPr>
        <w:t>Inquiry on Illicit Firearms: Customs presentation to the Law and Order Select Committee</w:t>
      </w:r>
      <w:r w:rsidRPr="00782536">
        <w:t>. 2016.</w:t>
      </w:r>
    </w:p>
    <w:p w14:paraId="47A321A9" w14:textId="77777777" w:rsidR="00782536" w:rsidRPr="00782536" w:rsidRDefault="00782536" w:rsidP="00782536">
      <w:pPr>
        <w:pStyle w:val="EndNoteBibliography"/>
        <w:spacing w:after="0"/>
        <w:ind w:left="720" w:hanging="720"/>
      </w:pPr>
      <w:r w:rsidRPr="00782536">
        <w:t>9.</w:t>
      </w:r>
      <w:r w:rsidRPr="00782536">
        <w:tab/>
        <w:t xml:space="preserve">Beautrais, A.L., D.M. Fergusson, and L.J. Horwood, </w:t>
      </w:r>
      <w:r w:rsidRPr="00782536">
        <w:rPr>
          <w:i/>
        </w:rPr>
        <w:t>Firearms legislation and reductions in firearm-related suicide deaths in New Zealand.</w:t>
      </w:r>
      <w:r w:rsidRPr="00782536">
        <w:t xml:space="preserve"> Australian and New Zealand Journal of Psychiatry, 2006. </w:t>
      </w:r>
      <w:r w:rsidRPr="00782536">
        <w:rPr>
          <w:b/>
        </w:rPr>
        <w:t>40</w:t>
      </w:r>
      <w:r w:rsidRPr="00782536">
        <w:t>(3): p. 253-259.</w:t>
      </w:r>
    </w:p>
    <w:p w14:paraId="0440E298" w14:textId="77777777" w:rsidR="00782536" w:rsidRPr="00782536" w:rsidRDefault="00782536" w:rsidP="00782536">
      <w:pPr>
        <w:pStyle w:val="EndNoteBibliography"/>
        <w:spacing w:after="0"/>
        <w:ind w:left="720" w:hanging="720"/>
      </w:pPr>
      <w:r w:rsidRPr="00782536">
        <w:t>10.</w:t>
      </w:r>
      <w:r w:rsidRPr="00782536">
        <w:tab/>
        <w:t xml:space="preserve">Chapman, S., P. Alpers, and M. Jones, </w:t>
      </w:r>
      <w:r w:rsidRPr="00782536">
        <w:rPr>
          <w:i/>
        </w:rPr>
        <w:t>Association between gun law reforms and intentional firearm deaths in australia, 1979-2013.</w:t>
      </w:r>
      <w:r w:rsidRPr="00782536">
        <w:t xml:space="preserve"> JAMA, 2016. </w:t>
      </w:r>
      <w:r w:rsidRPr="00782536">
        <w:rPr>
          <w:b/>
        </w:rPr>
        <w:t>316</w:t>
      </w:r>
      <w:r w:rsidRPr="00782536">
        <w:t>(3): p. 291-299.</w:t>
      </w:r>
    </w:p>
    <w:p w14:paraId="158252E4" w14:textId="77777777" w:rsidR="00782536" w:rsidRPr="00782536" w:rsidRDefault="00782536" w:rsidP="00782536">
      <w:pPr>
        <w:pStyle w:val="EndNoteBibliography"/>
        <w:spacing w:after="0"/>
        <w:ind w:left="720" w:hanging="720"/>
      </w:pPr>
      <w:r w:rsidRPr="00782536">
        <w:t>11.</w:t>
      </w:r>
      <w:r w:rsidRPr="00782536">
        <w:tab/>
        <w:t xml:space="preserve">Santaella-Tenorio, J., et al., </w:t>
      </w:r>
      <w:r w:rsidRPr="00782536">
        <w:rPr>
          <w:i/>
        </w:rPr>
        <w:t>What do we know about the association between firearm legislation and firearm-related injuries?</w:t>
      </w:r>
      <w:r w:rsidRPr="00782536">
        <w:t xml:space="preserve"> Epidemiologic Reviews, 2016. </w:t>
      </w:r>
      <w:r w:rsidRPr="00782536">
        <w:rPr>
          <w:b/>
        </w:rPr>
        <w:t>38</w:t>
      </w:r>
      <w:r w:rsidRPr="00782536">
        <w:t>(1): p. 140-157.</w:t>
      </w:r>
    </w:p>
    <w:p w14:paraId="4F86A2C9" w14:textId="77777777" w:rsidR="00782536" w:rsidRPr="00782536" w:rsidRDefault="00782536" w:rsidP="00782536">
      <w:pPr>
        <w:pStyle w:val="EndNoteBibliography"/>
        <w:spacing w:after="0"/>
        <w:ind w:left="720" w:hanging="720"/>
      </w:pPr>
      <w:r w:rsidRPr="00782536">
        <w:t>12.</w:t>
      </w:r>
      <w:r w:rsidRPr="00782536">
        <w:tab/>
        <w:t xml:space="preserve">Duff, M., </w:t>
      </w:r>
      <w:r w:rsidRPr="00782536">
        <w:rPr>
          <w:i/>
        </w:rPr>
        <w:t>Gun City's David Tipple: Firearms aren't the villain</w:t>
      </w:r>
      <w:r w:rsidRPr="00782536">
        <w:t xml:space="preserve">, in </w:t>
      </w:r>
      <w:r w:rsidRPr="00782536">
        <w:rPr>
          <w:i/>
        </w:rPr>
        <w:t>Stuff</w:t>
      </w:r>
      <w:r w:rsidRPr="00782536">
        <w:t>. 2019, 19 March.</w:t>
      </w:r>
    </w:p>
    <w:p w14:paraId="112519DC" w14:textId="77777777" w:rsidR="00782536" w:rsidRPr="00782536" w:rsidRDefault="00782536" w:rsidP="00782536">
      <w:pPr>
        <w:pStyle w:val="EndNoteBibliography"/>
        <w:spacing w:after="0"/>
        <w:ind w:left="720" w:hanging="720"/>
      </w:pPr>
      <w:r w:rsidRPr="00782536">
        <w:t>13.</w:t>
      </w:r>
      <w:r w:rsidRPr="00782536">
        <w:tab/>
        <w:t xml:space="preserve">New Zealand Police, </w:t>
      </w:r>
      <w:r w:rsidRPr="00782536">
        <w:rPr>
          <w:i/>
        </w:rPr>
        <w:t>Annual Reports</w:t>
      </w:r>
      <w:r w:rsidRPr="00782536">
        <w:t>. Wellington.</w:t>
      </w:r>
    </w:p>
    <w:p w14:paraId="4631721E" w14:textId="77777777" w:rsidR="00782536" w:rsidRPr="00782536" w:rsidRDefault="00782536" w:rsidP="00782536">
      <w:pPr>
        <w:pStyle w:val="EndNoteBibliography"/>
        <w:spacing w:after="0"/>
        <w:ind w:left="720" w:hanging="720"/>
      </w:pPr>
      <w:r w:rsidRPr="00782536">
        <w:t>14.</w:t>
      </w:r>
      <w:r w:rsidRPr="00782536">
        <w:tab/>
        <w:t xml:space="preserve">Russell, M. and H. Cook, </w:t>
      </w:r>
      <w:r w:rsidRPr="00782536">
        <w:rPr>
          <w:i/>
        </w:rPr>
        <w:t>(forthcoming).</w:t>
      </w:r>
      <w:r w:rsidRPr="00782536">
        <w:t xml:space="preserve"> 2019 </w:t>
      </w:r>
    </w:p>
    <w:p w14:paraId="1D4F95FD" w14:textId="77777777" w:rsidR="00782536" w:rsidRPr="00782536" w:rsidRDefault="00782536" w:rsidP="00782536">
      <w:pPr>
        <w:pStyle w:val="EndNoteBibliography"/>
        <w:spacing w:after="0"/>
        <w:ind w:left="720" w:hanging="720"/>
      </w:pPr>
      <w:r w:rsidRPr="00782536">
        <w:t>15.</w:t>
      </w:r>
      <w:r w:rsidRPr="00782536">
        <w:tab/>
        <w:t xml:space="preserve">Russell, M., </w:t>
      </w:r>
      <w:r w:rsidRPr="00782536">
        <w:rPr>
          <w:i/>
        </w:rPr>
        <w:t>When should New Zealand schools have guns?</w:t>
      </w:r>
      <w:r w:rsidRPr="00782536">
        <w:t xml:space="preserve">, in </w:t>
      </w:r>
      <w:r w:rsidRPr="00782536">
        <w:rPr>
          <w:i/>
        </w:rPr>
        <w:t>New Zealand Herald</w:t>
      </w:r>
      <w:r w:rsidRPr="00782536">
        <w:t>. 2018, 28 March: Auckland.</w:t>
      </w:r>
    </w:p>
    <w:p w14:paraId="714C367C" w14:textId="77777777" w:rsidR="00782536" w:rsidRPr="00782536" w:rsidRDefault="00782536" w:rsidP="00782536">
      <w:pPr>
        <w:pStyle w:val="EndNoteBibliography"/>
        <w:spacing w:after="0"/>
        <w:ind w:left="720" w:hanging="720"/>
      </w:pPr>
      <w:r w:rsidRPr="00782536">
        <w:t>16.</w:t>
      </w:r>
      <w:r w:rsidRPr="00782536">
        <w:tab/>
        <w:t xml:space="preserve">Ministry of Education, </w:t>
      </w:r>
      <w:r w:rsidRPr="00782536">
        <w:rPr>
          <w:i/>
        </w:rPr>
        <w:t>Guidelines for schools developing a firearms policy: Developing policy on firearms activities/events involving students</w:t>
      </w:r>
      <w:r w:rsidRPr="00782536">
        <w:t xml:space="preserve">. 2018, July: Wellington </w:t>
      </w:r>
    </w:p>
    <w:p w14:paraId="54692992" w14:textId="77777777" w:rsidR="00782536" w:rsidRPr="00782536" w:rsidRDefault="00782536" w:rsidP="00782536">
      <w:pPr>
        <w:pStyle w:val="EndNoteBibliography"/>
        <w:spacing w:after="0"/>
        <w:ind w:left="720" w:hanging="720"/>
      </w:pPr>
      <w:r w:rsidRPr="00782536">
        <w:t>17.</w:t>
      </w:r>
      <w:r w:rsidRPr="00782536">
        <w:tab/>
        <w:t xml:space="preserve">Mayhew, P., </w:t>
      </w:r>
      <w:r w:rsidRPr="00782536">
        <w:rPr>
          <w:i/>
        </w:rPr>
        <w:t>The Case of Australia and New Zealand</w:t>
      </w:r>
      <w:r w:rsidRPr="00782536">
        <w:t xml:space="preserve">, in </w:t>
      </w:r>
      <w:r w:rsidRPr="00782536">
        <w:rPr>
          <w:i/>
        </w:rPr>
        <w:t>The International Crime Drop: New Directions in Research</w:t>
      </w:r>
      <w:r w:rsidRPr="00782536">
        <w:t>, J. van Dijk, A. Tseloni, and G. Farrell, Editors. 2012, Palgrave Macmillan UK: London. p. 76-102.</w:t>
      </w:r>
    </w:p>
    <w:p w14:paraId="1DE341C4" w14:textId="77777777" w:rsidR="00782536" w:rsidRPr="00782536" w:rsidRDefault="00782536" w:rsidP="00782536">
      <w:pPr>
        <w:pStyle w:val="EndNoteBibliography"/>
        <w:spacing w:after="0"/>
        <w:ind w:left="720" w:hanging="720"/>
      </w:pPr>
      <w:r w:rsidRPr="00782536">
        <w:t>18.</w:t>
      </w:r>
      <w:r w:rsidRPr="00782536">
        <w:tab/>
        <w:t xml:space="preserve">Dudley, M.J., et al., </w:t>
      </w:r>
      <w:r w:rsidRPr="00782536">
        <w:rPr>
          <w:i/>
        </w:rPr>
        <w:t>The Port Arthur massacre and the National Firearms Agreement: 20 years on, what are the lessons?</w:t>
      </w:r>
      <w:r w:rsidRPr="00782536">
        <w:t xml:space="preserve"> Medical Journal of Australia, 2016. </w:t>
      </w:r>
      <w:r w:rsidRPr="00782536">
        <w:rPr>
          <w:b/>
        </w:rPr>
        <w:t>204</w:t>
      </w:r>
      <w:r w:rsidRPr="00782536">
        <w:t>(10): p. 381-383.</w:t>
      </w:r>
    </w:p>
    <w:p w14:paraId="768C0C1C" w14:textId="77777777" w:rsidR="00782536" w:rsidRPr="00782536" w:rsidRDefault="00782536" w:rsidP="00782536">
      <w:pPr>
        <w:pStyle w:val="EndNoteBibliography"/>
        <w:ind w:left="720" w:hanging="720"/>
      </w:pPr>
      <w:r w:rsidRPr="00782536">
        <w:t>19.</w:t>
      </w:r>
      <w:r w:rsidRPr="00782536">
        <w:tab/>
        <w:t xml:space="preserve">Bingham, E., </w:t>
      </w:r>
      <w:r w:rsidRPr="00782536">
        <w:rPr>
          <w:i/>
        </w:rPr>
        <w:t>Staunch in the line of fire</w:t>
      </w:r>
      <w:r w:rsidRPr="00782536">
        <w:t xml:space="preserve">, in </w:t>
      </w:r>
      <w:r w:rsidRPr="00782536">
        <w:rPr>
          <w:i/>
        </w:rPr>
        <w:t>New Zealand Herald</w:t>
      </w:r>
      <w:r w:rsidRPr="00782536">
        <w:t>. 2006, 15 December: Auckland.</w:t>
      </w:r>
    </w:p>
    <w:p w14:paraId="752DEB06" w14:textId="4C9B3420" w:rsidR="00F01842" w:rsidRPr="00C974EC" w:rsidRDefault="001A766F" w:rsidP="00782536">
      <w:pPr>
        <w:spacing w:after="0" w:line="240" w:lineRule="auto"/>
        <w:ind w:left="426" w:right="-472" w:hanging="426"/>
        <w:rPr>
          <w:i/>
        </w:rPr>
      </w:pPr>
      <w:r w:rsidRPr="00F01842">
        <w:rPr>
          <w:i/>
        </w:rPr>
        <w:fldChar w:fldCharType="end"/>
      </w:r>
      <w:r w:rsidR="00F01842" w:rsidRPr="00F01842">
        <w:rPr>
          <w:i/>
        </w:rPr>
        <w:t>Marie Russell and Hera Cook, Department of Public Health, University of Otago, Wellington. April 2 2019</w:t>
      </w:r>
    </w:p>
    <w:p w14:paraId="7D9E36D8" w14:textId="062615DF" w:rsidR="00F01842" w:rsidRPr="00C974EC" w:rsidRDefault="00C974EC" w:rsidP="00186F98">
      <w:pPr>
        <w:rPr>
          <w:i/>
        </w:rPr>
      </w:pPr>
      <w:r w:rsidRPr="00C974EC">
        <w:rPr>
          <w:i/>
        </w:rPr>
        <w:t>Ph 021 1644 638</w:t>
      </w:r>
      <w:r>
        <w:rPr>
          <w:i/>
        </w:rPr>
        <w:t xml:space="preserve"> or 021 0287 2236</w:t>
      </w:r>
    </w:p>
    <w:p w14:paraId="65DF64D6" w14:textId="77777777" w:rsidR="00C974EC" w:rsidRDefault="00C974EC" w:rsidP="00186F98"/>
    <w:p w14:paraId="39AAEB70" w14:textId="2357442E" w:rsidR="007F4BFC" w:rsidRDefault="00AD3942" w:rsidP="00186F98">
      <w:r>
        <w:t>APPENDIX</w:t>
      </w:r>
      <w:r w:rsidR="001A766F">
        <w:fldChar w:fldCharType="begin"/>
      </w:r>
      <w:r w:rsidR="001A766F">
        <w:instrText xml:space="preserve"> ADDIN </w:instrText>
      </w:r>
      <w:r w:rsidR="001A766F">
        <w:fldChar w:fldCharType="end"/>
      </w:r>
    </w:p>
    <w:p w14:paraId="6D1701F9" w14:textId="77777777" w:rsidR="000741B9" w:rsidRPr="000741B9" w:rsidRDefault="0079503A" w:rsidP="008B0B27">
      <w:pPr>
        <w:pStyle w:val="Caption"/>
        <w:keepNext/>
        <w:spacing w:after="0"/>
        <w:rPr>
          <w:b/>
        </w:rPr>
      </w:pPr>
      <w:bookmarkStart w:id="1" w:name="_Ref4848215"/>
      <w:r w:rsidRPr="000741B9">
        <w:rPr>
          <w:b/>
        </w:rPr>
        <w:t xml:space="preserve">Table </w:t>
      </w:r>
      <w:bookmarkEnd w:id="1"/>
      <w:r w:rsidR="00186F98">
        <w:rPr>
          <w:b/>
          <w:noProof/>
        </w:rPr>
        <w:t>1</w:t>
      </w:r>
      <w:r w:rsidRPr="000741B9">
        <w:rPr>
          <w:b/>
        </w:rPr>
        <w:t xml:space="preserve"> Suicides by firearms and explosives, </w:t>
      </w:r>
    </w:p>
    <w:p w14:paraId="26B3A8F1" w14:textId="30C8935A" w:rsidR="0079503A" w:rsidRPr="000741B9" w:rsidRDefault="000741B9" w:rsidP="008B0B27">
      <w:pPr>
        <w:pStyle w:val="Caption"/>
        <w:keepNext/>
        <w:spacing w:after="0"/>
        <w:rPr>
          <w:b/>
        </w:rPr>
      </w:pPr>
      <w:r w:rsidRPr="000741B9">
        <w:rPr>
          <w:b/>
        </w:rPr>
        <w:t xml:space="preserve">              </w:t>
      </w:r>
      <w:r w:rsidR="0079503A" w:rsidRPr="000741B9">
        <w:rPr>
          <w:b/>
        </w:rPr>
        <w:t>New Zealand 1996 to 2015</w:t>
      </w:r>
      <w:r w:rsidR="00C621DF">
        <w:rPr>
          <w:b/>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095"/>
      </w:tblGrid>
      <w:tr w:rsidR="000C1C7F" w14:paraId="35DEEB21" w14:textId="77777777" w:rsidTr="000741B9">
        <w:trPr>
          <w:trHeight w:val="290"/>
        </w:trPr>
        <w:tc>
          <w:tcPr>
            <w:tcW w:w="0" w:type="auto"/>
            <w:shd w:val="solid" w:color="FFFFFF" w:fill="auto"/>
          </w:tcPr>
          <w:p w14:paraId="5564E637"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1996</w:t>
            </w:r>
          </w:p>
        </w:tc>
        <w:tc>
          <w:tcPr>
            <w:tcW w:w="1095" w:type="dxa"/>
            <w:shd w:val="solid" w:color="FFFFFF" w:fill="auto"/>
          </w:tcPr>
          <w:p w14:paraId="1AE09C75"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r>
      <w:tr w:rsidR="000C1C7F" w14:paraId="0B2A0406" w14:textId="77777777" w:rsidTr="000741B9">
        <w:trPr>
          <w:trHeight w:val="290"/>
        </w:trPr>
        <w:tc>
          <w:tcPr>
            <w:tcW w:w="0" w:type="auto"/>
            <w:shd w:val="solid" w:color="FFFFFF" w:fill="auto"/>
          </w:tcPr>
          <w:p w14:paraId="43EF146D"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1997</w:t>
            </w:r>
          </w:p>
        </w:tc>
        <w:tc>
          <w:tcPr>
            <w:tcW w:w="1095" w:type="dxa"/>
            <w:shd w:val="solid" w:color="FFFFFF" w:fill="auto"/>
          </w:tcPr>
          <w:p w14:paraId="45EF5F5B"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56</w:t>
            </w:r>
          </w:p>
        </w:tc>
      </w:tr>
      <w:tr w:rsidR="000C1C7F" w14:paraId="45E2263F" w14:textId="77777777" w:rsidTr="000741B9">
        <w:trPr>
          <w:trHeight w:val="290"/>
        </w:trPr>
        <w:tc>
          <w:tcPr>
            <w:tcW w:w="0" w:type="auto"/>
            <w:shd w:val="solid" w:color="FFFFFF" w:fill="auto"/>
          </w:tcPr>
          <w:p w14:paraId="65E9051D"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1998</w:t>
            </w:r>
          </w:p>
        </w:tc>
        <w:tc>
          <w:tcPr>
            <w:tcW w:w="1095" w:type="dxa"/>
            <w:shd w:val="solid" w:color="FFFFFF" w:fill="auto"/>
          </w:tcPr>
          <w:p w14:paraId="37760672"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w:t>
            </w:r>
          </w:p>
        </w:tc>
      </w:tr>
      <w:tr w:rsidR="000C1C7F" w14:paraId="0ECB2E34" w14:textId="77777777" w:rsidTr="000741B9">
        <w:trPr>
          <w:trHeight w:val="290"/>
        </w:trPr>
        <w:tc>
          <w:tcPr>
            <w:tcW w:w="0" w:type="auto"/>
            <w:shd w:val="solid" w:color="FFFFFF" w:fill="auto"/>
          </w:tcPr>
          <w:p w14:paraId="0FE208C5"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1999</w:t>
            </w:r>
          </w:p>
        </w:tc>
        <w:tc>
          <w:tcPr>
            <w:tcW w:w="1095" w:type="dxa"/>
            <w:shd w:val="solid" w:color="FFFFFF" w:fill="auto"/>
          </w:tcPr>
          <w:p w14:paraId="6D7724C9"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r>
      <w:tr w:rsidR="000C1C7F" w14:paraId="672BC620" w14:textId="77777777" w:rsidTr="000741B9">
        <w:trPr>
          <w:trHeight w:val="290"/>
        </w:trPr>
        <w:tc>
          <w:tcPr>
            <w:tcW w:w="0" w:type="auto"/>
            <w:shd w:val="solid" w:color="FFFFFF" w:fill="auto"/>
          </w:tcPr>
          <w:p w14:paraId="23B84C0C"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2000</w:t>
            </w:r>
          </w:p>
        </w:tc>
        <w:tc>
          <w:tcPr>
            <w:tcW w:w="1095" w:type="dxa"/>
            <w:shd w:val="solid" w:color="FFFFFF" w:fill="auto"/>
          </w:tcPr>
          <w:p w14:paraId="704A22F3"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37</w:t>
            </w:r>
          </w:p>
        </w:tc>
      </w:tr>
      <w:tr w:rsidR="000C1C7F" w14:paraId="77BE785A" w14:textId="77777777" w:rsidTr="000741B9">
        <w:trPr>
          <w:trHeight w:val="290"/>
        </w:trPr>
        <w:tc>
          <w:tcPr>
            <w:tcW w:w="0" w:type="auto"/>
            <w:shd w:val="solid" w:color="FFFFFF" w:fill="auto"/>
          </w:tcPr>
          <w:p w14:paraId="155CB197"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2001</w:t>
            </w:r>
          </w:p>
        </w:tc>
        <w:tc>
          <w:tcPr>
            <w:tcW w:w="1095" w:type="dxa"/>
            <w:shd w:val="solid" w:color="FFFFFF" w:fill="auto"/>
          </w:tcPr>
          <w:p w14:paraId="201599EA"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51</w:t>
            </w:r>
          </w:p>
        </w:tc>
      </w:tr>
      <w:tr w:rsidR="000C1C7F" w14:paraId="42D8AE4E" w14:textId="77777777" w:rsidTr="000741B9">
        <w:trPr>
          <w:trHeight w:val="290"/>
        </w:trPr>
        <w:tc>
          <w:tcPr>
            <w:tcW w:w="0" w:type="auto"/>
            <w:shd w:val="solid" w:color="FFFFFF" w:fill="auto"/>
          </w:tcPr>
          <w:p w14:paraId="611C066F"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2002</w:t>
            </w:r>
          </w:p>
        </w:tc>
        <w:tc>
          <w:tcPr>
            <w:tcW w:w="1095" w:type="dxa"/>
            <w:shd w:val="solid" w:color="FFFFFF" w:fill="auto"/>
          </w:tcPr>
          <w:p w14:paraId="0B2FC657"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49</w:t>
            </w:r>
          </w:p>
        </w:tc>
      </w:tr>
      <w:tr w:rsidR="000C1C7F" w14:paraId="763173BA" w14:textId="77777777" w:rsidTr="000741B9">
        <w:trPr>
          <w:trHeight w:val="290"/>
        </w:trPr>
        <w:tc>
          <w:tcPr>
            <w:tcW w:w="0" w:type="auto"/>
            <w:shd w:val="solid" w:color="FFFFFF" w:fill="auto"/>
          </w:tcPr>
          <w:p w14:paraId="0DA3B0BE"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2003</w:t>
            </w:r>
          </w:p>
        </w:tc>
        <w:tc>
          <w:tcPr>
            <w:tcW w:w="1095" w:type="dxa"/>
            <w:shd w:val="solid" w:color="FFFFFF" w:fill="auto"/>
          </w:tcPr>
          <w:p w14:paraId="5BC02AA9"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w:t>
            </w:r>
          </w:p>
        </w:tc>
      </w:tr>
      <w:tr w:rsidR="000C1C7F" w14:paraId="0867D3AF" w14:textId="77777777" w:rsidTr="000741B9">
        <w:trPr>
          <w:trHeight w:val="290"/>
        </w:trPr>
        <w:tc>
          <w:tcPr>
            <w:tcW w:w="0" w:type="auto"/>
            <w:shd w:val="solid" w:color="FFFFFF" w:fill="auto"/>
          </w:tcPr>
          <w:p w14:paraId="62319AB5"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2004</w:t>
            </w:r>
          </w:p>
        </w:tc>
        <w:tc>
          <w:tcPr>
            <w:tcW w:w="1095" w:type="dxa"/>
            <w:shd w:val="solid" w:color="FFFFFF" w:fill="auto"/>
          </w:tcPr>
          <w:p w14:paraId="24090093"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39</w:t>
            </w:r>
          </w:p>
        </w:tc>
      </w:tr>
      <w:tr w:rsidR="000C1C7F" w14:paraId="61525D1C" w14:textId="77777777" w:rsidTr="000741B9">
        <w:trPr>
          <w:trHeight w:val="290"/>
        </w:trPr>
        <w:tc>
          <w:tcPr>
            <w:tcW w:w="0" w:type="auto"/>
            <w:shd w:val="solid" w:color="FFFFFF" w:fill="auto"/>
          </w:tcPr>
          <w:p w14:paraId="1230909B"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2005</w:t>
            </w:r>
          </w:p>
        </w:tc>
        <w:tc>
          <w:tcPr>
            <w:tcW w:w="1095" w:type="dxa"/>
            <w:shd w:val="solid" w:color="FFFFFF" w:fill="auto"/>
          </w:tcPr>
          <w:p w14:paraId="6C284E57"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44</w:t>
            </w:r>
          </w:p>
        </w:tc>
      </w:tr>
      <w:tr w:rsidR="000C1C7F" w14:paraId="3ACAF53C" w14:textId="77777777" w:rsidTr="000741B9">
        <w:trPr>
          <w:trHeight w:val="290"/>
        </w:trPr>
        <w:tc>
          <w:tcPr>
            <w:tcW w:w="0" w:type="auto"/>
            <w:shd w:val="solid" w:color="FFFFFF" w:fill="auto"/>
          </w:tcPr>
          <w:p w14:paraId="2FCADE9A"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2006</w:t>
            </w:r>
          </w:p>
        </w:tc>
        <w:tc>
          <w:tcPr>
            <w:tcW w:w="1095" w:type="dxa"/>
            <w:shd w:val="solid" w:color="FFFFFF" w:fill="auto"/>
          </w:tcPr>
          <w:p w14:paraId="14CA9536"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48</w:t>
            </w:r>
          </w:p>
        </w:tc>
      </w:tr>
      <w:tr w:rsidR="000C1C7F" w14:paraId="4EBCD0CE" w14:textId="77777777" w:rsidTr="000741B9">
        <w:trPr>
          <w:trHeight w:val="290"/>
        </w:trPr>
        <w:tc>
          <w:tcPr>
            <w:tcW w:w="0" w:type="auto"/>
            <w:shd w:val="solid" w:color="FFFFFF" w:fill="auto"/>
          </w:tcPr>
          <w:p w14:paraId="172ED69E"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2007</w:t>
            </w:r>
          </w:p>
        </w:tc>
        <w:tc>
          <w:tcPr>
            <w:tcW w:w="1095" w:type="dxa"/>
            <w:shd w:val="solid" w:color="FFFFFF" w:fill="auto"/>
          </w:tcPr>
          <w:p w14:paraId="7AEC1A60"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48</w:t>
            </w:r>
          </w:p>
        </w:tc>
      </w:tr>
      <w:tr w:rsidR="000C1C7F" w14:paraId="165FFD38" w14:textId="77777777" w:rsidTr="000741B9">
        <w:trPr>
          <w:trHeight w:val="290"/>
        </w:trPr>
        <w:tc>
          <w:tcPr>
            <w:tcW w:w="0" w:type="auto"/>
            <w:shd w:val="solid" w:color="FFFFFF" w:fill="auto"/>
          </w:tcPr>
          <w:p w14:paraId="3CA35976"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2008</w:t>
            </w:r>
          </w:p>
        </w:tc>
        <w:tc>
          <w:tcPr>
            <w:tcW w:w="1095" w:type="dxa"/>
            <w:shd w:val="solid" w:color="FFFFFF" w:fill="auto"/>
          </w:tcPr>
          <w:p w14:paraId="61ABC98C"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w:t>
            </w:r>
          </w:p>
        </w:tc>
      </w:tr>
      <w:tr w:rsidR="000C1C7F" w14:paraId="15F5D449" w14:textId="77777777" w:rsidTr="000741B9">
        <w:trPr>
          <w:trHeight w:val="290"/>
        </w:trPr>
        <w:tc>
          <w:tcPr>
            <w:tcW w:w="0" w:type="auto"/>
            <w:shd w:val="solid" w:color="FFFFFF" w:fill="auto"/>
          </w:tcPr>
          <w:p w14:paraId="7B81FC65"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2009</w:t>
            </w:r>
          </w:p>
        </w:tc>
        <w:tc>
          <w:tcPr>
            <w:tcW w:w="1095" w:type="dxa"/>
            <w:shd w:val="solid" w:color="FFFFFF" w:fill="auto"/>
          </w:tcPr>
          <w:p w14:paraId="44BCB197"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53</w:t>
            </w:r>
          </w:p>
        </w:tc>
      </w:tr>
      <w:tr w:rsidR="000C1C7F" w14:paraId="61C7D424" w14:textId="77777777" w:rsidTr="000741B9">
        <w:trPr>
          <w:trHeight w:val="290"/>
        </w:trPr>
        <w:tc>
          <w:tcPr>
            <w:tcW w:w="0" w:type="auto"/>
            <w:shd w:val="solid" w:color="FFFFFF" w:fill="auto"/>
          </w:tcPr>
          <w:p w14:paraId="12DDB39D"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2010</w:t>
            </w:r>
          </w:p>
        </w:tc>
        <w:tc>
          <w:tcPr>
            <w:tcW w:w="1095" w:type="dxa"/>
            <w:shd w:val="solid" w:color="FFFFFF" w:fill="auto"/>
          </w:tcPr>
          <w:p w14:paraId="5E403F43"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w:t>
            </w:r>
          </w:p>
        </w:tc>
      </w:tr>
      <w:tr w:rsidR="000C1C7F" w14:paraId="602C4293" w14:textId="77777777" w:rsidTr="000741B9">
        <w:trPr>
          <w:trHeight w:val="290"/>
        </w:trPr>
        <w:tc>
          <w:tcPr>
            <w:tcW w:w="0" w:type="auto"/>
            <w:shd w:val="solid" w:color="FFFFFF" w:fill="auto"/>
          </w:tcPr>
          <w:p w14:paraId="4A224B02"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2011</w:t>
            </w:r>
          </w:p>
        </w:tc>
        <w:tc>
          <w:tcPr>
            <w:tcW w:w="1095" w:type="dxa"/>
            <w:shd w:val="solid" w:color="FFFFFF" w:fill="auto"/>
          </w:tcPr>
          <w:p w14:paraId="20A47514"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w:t>
            </w:r>
          </w:p>
        </w:tc>
      </w:tr>
      <w:tr w:rsidR="000C1C7F" w14:paraId="5A16B675" w14:textId="77777777" w:rsidTr="000741B9">
        <w:trPr>
          <w:trHeight w:val="290"/>
        </w:trPr>
        <w:tc>
          <w:tcPr>
            <w:tcW w:w="0" w:type="auto"/>
            <w:shd w:val="solid" w:color="FFFFFF" w:fill="auto"/>
          </w:tcPr>
          <w:p w14:paraId="1D02F817"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2012</w:t>
            </w:r>
          </w:p>
        </w:tc>
        <w:tc>
          <w:tcPr>
            <w:tcW w:w="1095" w:type="dxa"/>
            <w:shd w:val="solid" w:color="FFFFFF" w:fill="auto"/>
          </w:tcPr>
          <w:p w14:paraId="15F45968"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r>
      <w:tr w:rsidR="000C1C7F" w14:paraId="75F11461" w14:textId="77777777" w:rsidTr="000741B9">
        <w:trPr>
          <w:trHeight w:val="290"/>
        </w:trPr>
        <w:tc>
          <w:tcPr>
            <w:tcW w:w="0" w:type="auto"/>
            <w:shd w:val="solid" w:color="FFFFFF" w:fill="auto"/>
          </w:tcPr>
          <w:p w14:paraId="346291E1"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2013</w:t>
            </w:r>
          </w:p>
        </w:tc>
        <w:tc>
          <w:tcPr>
            <w:tcW w:w="1095" w:type="dxa"/>
            <w:shd w:val="solid" w:color="FFFFFF" w:fill="auto"/>
          </w:tcPr>
          <w:p w14:paraId="44832361"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48</w:t>
            </w:r>
          </w:p>
        </w:tc>
      </w:tr>
      <w:tr w:rsidR="000C1C7F" w14:paraId="741C4E52" w14:textId="77777777" w:rsidTr="000741B9">
        <w:trPr>
          <w:trHeight w:val="290"/>
        </w:trPr>
        <w:tc>
          <w:tcPr>
            <w:tcW w:w="0" w:type="auto"/>
            <w:shd w:val="solid" w:color="FFFFFF" w:fill="auto"/>
          </w:tcPr>
          <w:p w14:paraId="3CA7CCC4"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2014</w:t>
            </w:r>
          </w:p>
        </w:tc>
        <w:tc>
          <w:tcPr>
            <w:tcW w:w="1095" w:type="dxa"/>
            <w:shd w:val="solid" w:color="FFFFFF" w:fill="auto"/>
          </w:tcPr>
          <w:p w14:paraId="0C675B0A"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w:t>
            </w:r>
          </w:p>
        </w:tc>
      </w:tr>
      <w:tr w:rsidR="000C1C7F" w14:paraId="150E5726" w14:textId="77777777" w:rsidTr="000741B9">
        <w:trPr>
          <w:trHeight w:val="290"/>
        </w:trPr>
        <w:tc>
          <w:tcPr>
            <w:tcW w:w="0" w:type="auto"/>
            <w:shd w:val="solid" w:color="FFFFFF" w:fill="auto"/>
          </w:tcPr>
          <w:p w14:paraId="7CF588C3" w14:textId="77777777" w:rsidR="000C1C7F" w:rsidRDefault="000C1C7F" w:rsidP="008B0B2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2015</w:t>
            </w:r>
          </w:p>
        </w:tc>
        <w:tc>
          <w:tcPr>
            <w:tcW w:w="1095" w:type="dxa"/>
            <w:shd w:val="solid" w:color="FFFFFF" w:fill="auto"/>
          </w:tcPr>
          <w:p w14:paraId="728C8D1C" w14:textId="77777777" w:rsidR="000C1C7F" w:rsidRDefault="000C1C7F" w:rsidP="008B0B2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w:t>
            </w:r>
          </w:p>
        </w:tc>
      </w:tr>
    </w:tbl>
    <w:p w14:paraId="6231F68A" w14:textId="77777777" w:rsidR="006C1BC6" w:rsidRDefault="006C1BC6" w:rsidP="008B0B27"/>
    <w:p w14:paraId="31CBECA4" w14:textId="77777777" w:rsidR="006C1BC6" w:rsidRDefault="006C1BC6" w:rsidP="008B0B27"/>
    <w:p w14:paraId="7742279E" w14:textId="77777777" w:rsidR="006C1BC6" w:rsidRPr="000741B9" w:rsidRDefault="00407020" w:rsidP="008B0B27">
      <w:pPr>
        <w:pStyle w:val="Caption"/>
        <w:rPr>
          <w:b/>
        </w:rPr>
      </w:pPr>
      <w:bookmarkStart w:id="2" w:name="_Ref4853059"/>
      <w:r w:rsidRPr="000741B9">
        <w:rPr>
          <w:b/>
        </w:rPr>
        <w:t xml:space="preserve">Table </w:t>
      </w:r>
      <w:bookmarkEnd w:id="2"/>
      <w:r w:rsidR="00186F98">
        <w:rPr>
          <w:b/>
          <w:noProof/>
        </w:rPr>
        <w:t>2</w:t>
      </w:r>
      <w:r w:rsidRPr="000741B9">
        <w:rPr>
          <w:b/>
        </w:rPr>
        <w:t xml:space="preserve"> Imports of shotguns, rifles and airguns 2008-2016</w:t>
      </w:r>
    </w:p>
    <w:tbl>
      <w:tblPr>
        <w:tblStyle w:val="TableGrid"/>
        <w:tblW w:w="10825" w:type="dxa"/>
        <w:tblInd w:w="-907" w:type="dxa"/>
        <w:tblLook w:val="04A0" w:firstRow="1" w:lastRow="0" w:firstColumn="1" w:lastColumn="0" w:noHBand="0" w:noVBand="1"/>
      </w:tblPr>
      <w:tblGrid>
        <w:gridCol w:w="1036"/>
        <w:gridCol w:w="957"/>
        <w:gridCol w:w="957"/>
        <w:gridCol w:w="957"/>
        <w:gridCol w:w="956"/>
        <w:gridCol w:w="956"/>
        <w:gridCol w:w="956"/>
        <w:gridCol w:w="956"/>
        <w:gridCol w:w="956"/>
        <w:gridCol w:w="956"/>
        <w:gridCol w:w="1182"/>
      </w:tblGrid>
      <w:tr w:rsidR="006C1BC6" w:rsidRPr="00407020" w14:paraId="17B55E2B" w14:textId="77777777" w:rsidTr="001D4AD6">
        <w:trPr>
          <w:trHeight w:val="300"/>
        </w:trPr>
        <w:tc>
          <w:tcPr>
            <w:tcW w:w="958" w:type="dxa"/>
            <w:noWrap/>
            <w:hideMark/>
          </w:tcPr>
          <w:p w14:paraId="3FF6C2A6" w14:textId="77777777" w:rsidR="006C1BC6" w:rsidRPr="00407020" w:rsidRDefault="006C1BC6" w:rsidP="008B0B27">
            <w:pPr>
              <w:jc w:val="center"/>
              <w:rPr>
                <w:rFonts w:ascii="Arial" w:eastAsia="Times New Roman" w:hAnsi="Arial" w:cs="Arial"/>
                <w:lang w:eastAsia="en-NZ"/>
              </w:rPr>
            </w:pPr>
          </w:p>
        </w:tc>
        <w:tc>
          <w:tcPr>
            <w:tcW w:w="957" w:type="dxa"/>
            <w:noWrap/>
            <w:hideMark/>
          </w:tcPr>
          <w:p w14:paraId="789623A8"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2008</w:t>
            </w:r>
          </w:p>
        </w:tc>
        <w:tc>
          <w:tcPr>
            <w:tcW w:w="957" w:type="dxa"/>
            <w:noWrap/>
            <w:hideMark/>
          </w:tcPr>
          <w:p w14:paraId="32E2DD91"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2009</w:t>
            </w:r>
          </w:p>
        </w:tc>
        <w:tc>
          <w:tcPr>
            <w:tcW w:w="957" w:type="dxa"/>
            <w:noWrap/>
            <w:hideMark/>
          </w:tcPr>
          <w:p w14:paraId="445ACF21"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2010</w:t>
            </w:r>
          </w:p>
        </w:tc>
        <w:tc>
          <w:tcPr>
            <w:tcW w:w="956" w:type="dxa"/>
            <w:noWrap/>
            <w:hideMark/>
          </w:tcPr>
          <w:p w14:paraId="6AC8FB74"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2011</w:t>
            </w:r>
          </w:p>
        </w:tc>
        <w:tc>
          <w:tcPr>
            <w:tcW w:w="956" w:type="dxa"/>
            <w:noWrap/>
            <w:hideMark/>
          </w:tcPr>
          <w:p w14:paraId="3B638282"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2012</w:t>
            </w:r>
          </w:p>
        </w:tc>
        <w:tc>
          <w:tcPr>
            <w:tcW w:w="956" w:type="dxa"/>
            <w:noWrap/>
            <w:hideMark/>
          </w:tcPr>
          <w:p w14:paraId="73928852"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2013</w:t>
            </w:r>
          </w:p>
        </w:tc>
        <w:tc>
          <w:tcPr>
            <w:tcW w:w="956" w:type="dxa"/>
            <w:noWrap/>
            <w:hideMark/>
          </w:tcPr>
          <w:p w14:paraId="57849C7C"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2014</w:t>
            </w:r>
          </w:p>
        </w:tc>
        <w:tc>
          <w:tcPr>
            <w:tcW w:w="956" w:type="dxa"/>
            <w:noWrap/>
            <w:hideMark/>
          </w:tcPr>
          <w:p w14:paraId="15743411"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2015</w:t>
            </w:r>
          </w:p>
        </w:tc>
        <w:tc>
          <w:tcPr>
            <w:tcW w:w="956" w:type="dxa"/>
            <w:noWrap/>
            <w:hideMark/>
          </w:tcPr>
          <w:p w14:paraId="25FE1CAF" w14:textId="77777777" w:rsidR="006C1BC6" w:rsidRPr="00407020" w:rsidRDefault="006C1BC6"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2016</w:t>
            </w:r>
          </w:p>
        </w:tc>
        <w:tc>
          <w:tcPr>
            <w:tcW w:w="1260" w:type="dxa"/>
          </w:tcPr>
          <w:p w14:paraId="209F3B5F" w14:textId="77777777" w:rsidR="006C1BC6"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Totals</w:t>
            </w:r>
          </w:p>
        </w:tc>
      </w:tr>
      <w:tr w:rsidR="00A97D70" w:rsidRPr="00407020" w14:paraId="7A131347" w14:textId="77777777" w:rsidTr="001D4AD6">
        <w:trPr>
          <w:trHeight w:val="238"/>
        </w:trPr>
        <w:tc>
          <w:tcPr>
            <w:tcW w:w="958" w:type="dxa"/>
            <w:noWrap/>
            <w:hideMark/>
          </w:tcPr>
          <w:p w14:paraId="23EA4302" w14:textId="77777777" w:rsidR="00A97D70" w:rsidRPr="00407020" w:rsidRDefault="00A97D70" w:rsidP="008B0B27">
            <w:pPr>
              <w:jc w:val="right"/>
              <w:rPr>
                <w:rFonts w:ascii="Arial" w:eastAsia="Times New Roman" w:hAnsi="Arial" w:cs="Arial"/>
                <w:color w:val="000000"/>
                <w:lang w:eastAsia="en-NZ"/>
              </w:rPr>
            </w:pPr>
            <w:r w:rsidRPr="00407020">
              <w:rPr>
                <w:rFonts w:ascii="Arial" w:eastAsia="Times New Roman" w:hAnsi="Arial" w:cs="Arial"/>
                <w:color w:val="000000"/>
                <w:lang w:eastAsia="en-NZ"/>
              </w:rPr>
              <w:t>Shotgun</w:t>
            </w:r>
          </w:p>
        </w:tc>
        <w:tc>
          <w:tcPr>
            <w:tcW w:w="957" w:type="dxa"/>
            <w:noWrap/>
            <w:hideMark/>
          </w:tcPr>
          <w:p w14:paraId="6D195DB8"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6018</w:t>
            </w:r>
          </w:p>
        </w:tc>
        <w:tc>
          <w:tcPr>
            <w:tcW w:w="957" w:type="dxa"/>
            <w:noWrap/>
            <w:hideMark/>
          </w:tcPr>
          <w:p w14:paraId="012D4C51"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6024</w:t>
            </w:r>
          </w:p>
        </w:tc>
        <w:tc>
          <w:tcPr>
            <w:tcW w:w="957" w:type="dxa"/>
            <w:noWrap/>
            <w:hideMark/>
          </w:tcPr>
          <w:p w14:paraId="41D56544"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8236</w:t>
            </w:r>
          </w:p>
        </w:tc>
        <w:tc>
          <w:tcPr>
            <w:tcW w:w="956" w:type="dxa"/>
            <w:noWrap/>
            <w:hideMark/>
          </w:tcPr>
          <w:p w14:paraId="329AB121"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9352</w:t>
            </w:r>
          </w:p>
        </w:tc>
        <w:tc>
          <w:tcPr>
            <w:tcW w:w="956" w:type="dxa"/>
            <w:noWrap/>
            <w:hideMark/>
          </w:tcPr>
          <w:p w14:paraId="738A129B"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9058</w:t>
            </w:r>
          </w:p>
        </w:tc>
        <w:tc>
          <w:tcPr>
            <w:tcW w:w="956" w:type="dxa"/>
            <w:noWrap/>
            <w:hideMark/>
          </w:tcPr>
          <w:p w14:paraId="12F8B96D"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8375</w:t>
            </w:r>
          </w:p>
        </w:tc>
        <w:tc>
          <w:tcPr>
            <w:tcW w:w="956" w:type="dxa"/>
            <w:noWrap/>
            <w:hideMark/>
          </w:tcPr>
          <w:p w14:paraId="6AEE3A79"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8920</w:t>
            </w:r>
          </w:p>
        </w:tc>
        <w:tc>
          <w:tcPr>
            <w:tcW w:w="956" w:type="dxa"/>
            <w:noWrap/>
            <w:hideMark/>
          </w:tcPr>
          <w:p w14:paraId="504636C8"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8194</w:t>
            </w:r>
          </w:p>
        </w:tc>
        <w:tc>
          <w:tcPr>
            <w:tcW w:w="956" w:type="dxa"/>
            <w:noWrap/>
            <w:hideMark/>
          </w:tcPr>
          <w:p w14:paraId="30B07631"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5444</w:t>
            </w:r>
          </w:p>
        </w:tc>
        <w:tc>
          <w:tcPr>
            <w:tcW w:w="1260" w:type="dxa"/>
          </w:tcPr>
          <w:p w14:paraId="7CB2FFFA" w14:textId="77777777" w:rsidR="00A97D70" w:rsidRPr="00407020" w:rsidRDefault="00A97D70" w:rsidP="008B0B27">
            <w:pPr>
              <w:jc w:val="center"/>
              <w:rPr>
                <w:rFonts w:ascii="Arial" w:hAnsi="Arial" w:cs="Arial"/>
                <w:b/>
                <w:color w:val="000000"/>
              </w:rPr>
            </w:pPr>
            <w:r w:rsidRPr="00407020">
              <w:rPr>
                <w:rFonts w:ascii="Arial" w:hAnsi="Arial" w:cs="Arial"/>
                <w:b/>
                <w:color w:val="000000"/>
              </w:rPr>
              <w:t>69621</w:t>
            </w:r>
          </w:p>
        </w:tc>
      </w:tr>
      <w:tr w:rsidR="00A97D70" w:rsidRPr="00407020" w14:paraId="343BE779" w14:textId="77777777" w:rsidTr="001D4AD6">
        <w:trPr>
          <w:trHeight w:val="300"/>
        </w:trPr>
        <w:tc>
          <w:tcPr>
            <w:tcW w:w="958" w:type="dxa"/>
            <w:noWrap/>
            <w:hideMark/>
          </w:tcPr>
          <w:p w14:paraId="48D77591"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Rifle</w:t>
            </w:r>
          </w:p>
        </w:tc>
        <w:tc>
          <w:tcPr>
            <w:tcW w:w="957" w:type="dxa"/>
            <w:noWrap/>
            <w:hideMark/>
          </w:tcPr>
          <w:p w14:paraId="0CC60F60"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19105</w:t>
            </w:r>
          </w:p>
        </w:tc>
        <w:tc>
          <w:tcPr>
            <w:tcW w:w="957" w:type="dxa"/>
            <w:noWrap/>
            <w:hideMark/>
          </w:tcPr>
          <w:p w14:paraId="2548853B"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18628</w:t>
            </w:r>
          </w:p>
        </w:tc>
        <w:tc>
          <w:tcPr>
            <w:tcW w:w="957" w:type="dxa"/>
            <w:noWrap/>
            <w:hideMark/>
          </w:tcPr>
          <w:p w14:paraId="6A2BFA7A"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19692</w:t>
            </w:r>
          </w:p>
        </w:tc>
        <w:tc>
          <w:tcPr>
            <w:tcW w:w="956" w:type="dxa"/>
            <w:noWrap/>
            <w:hideMark/>
          </w:tcPr>
          <w:p w14:paraId="3435168D"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16507</w:t>
            </w:r>
          </w:p>
        </w:tc>
        <w:tc>
          <w:tcPr>
            <w:tcW w:w="956" w:type="dxa"/>
            <w:noWrap/>
            <w:hideMark/>
          </w:tcPr>
          <w:p w14:paraId="73AEFF34"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18907</w:t>
            </w:r>
          </w:p>
        </w:tc>
        <w:tc>
          <w:tcPr>
            <w:tcW w:w="956" w:type="dxa"/>
            <w:noWrap/>
            <w:hideMark/>
          </w:tcPr>
          <w:p w14:paraId="1B8161E2"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19063</w:t>
            </w:r>
          </w:p>
        </w:tc>
        <w:tc>
          <w:tcPr>
            <w:tcW w:w="956" w:type="dxa"/>
            <w:noWrap/>
            <w:hideMark/>
          </w:tcPr>
          <w:p w14:paraId="4D94D578"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23513</w:t>
            </w:r>
          </w:p>
        </w:tc>
        <w:tc>
          <w:tcPr>
            <w:tcW w:w="956" w:type="dxa"/>
            <w:noWrap/>
            <w:hideMark/>
          </w:tcPr>
          <w:p w14:paraId="61CE498A"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20596</w:t>
            </w:r>
          </w:p>
        </w:tc>
        <w:tc>
          <w:tcPr>
            <w:tcW w:w="956" w:type="dxa"/>
            <w:noWrap/>
            <w:hideMark/>
          </w:tcPr>
          <w:p w14:paraId="41E81105"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15776</w:t>
            </w:r>
          </w:p>
        </w:tc>
        <w:tc>
          <w:tcPr>
            <w:tcW w:w="1260" w:type="dxa"/>
          </w:tcPr>
          <w:p w14:paraId="7EE1B724" w14:textId="77777777" w:rsidR="00A97D70" w:rsidRPr="00407020" w:rsidRDefault="00A97D70" w:rsidP="008B0B27">
            <w:pPr>
              <w:jc w:val="center"/>
              <w:rPr>
                <w:rFonts w:ascii="Arial" w:hAnsi="Arial" w:cs="Arial"/>
                <w:b/>
                <w:color w:val="000000"/>
              </w:rPr>
            </w:pPr>
            <w:r w:rsidRPr="00407020">
              <w:rPr>
                <w:rFonts w:ascii="Arial" w:hAnsi="Arial" w:cs="Arial"/>
                <w:b/>
                <w:color w:val="000000"/>
              </w:rPr>
              <w:t>171787</w:t>
            </w:r>
          </w:p>
        </w:tc>
      </w:tr>
      <w:tr w:rsidR="00A97D70" w:rsidRPr="00407020" w14:paraId="195C0EE3" w14:textId="77777777" w:rsidTr="001D4AD6">
        <w:trPr>
          <w:trHeight w:val="300"/>
        </w:trPr>
        <w:tc>
          <w:tcPr>
            <w:tcW w:w="958" w:type="dxa"/>
            <w:noWrap/>
            <w:hideMark/>
          </w:tcPr>
          <w:p w14:paraId="792BEF7C"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Airgun</w:t>
            </w:r>
          </w:p>
        </w:tc>
        <w:tc>
          <w:tcPr>
            <w:tcW w:w="957" w:type="dxa"/>
            <w:noWrap/>
            <w:hideMark/>
          </w:tcPr>
          <w:p w14:paraId="258F62C8"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25287</w:t>
            </w:r>
          </w:p>
        </w:tc>
        <w:tc>
          <w:tcPr>
            <w:tcW w:w="957" w:type="dxa"/>
            <w:noWrap/>
            <w:hideMark/>
          </w:tcPr>
          <w:p w14:paraId="08CD5A84"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18179</w:t>
            </w:r>
          </w:p>
        </w:tc>
        <w:tc>
          <w:tcPr>
            <w:tcW w:w="957" w:type="dxa"/>
            <w:noWrap/>
            <w:hideMark/>
          </w:tcPr>
          <w:p w14:paraId="491634D9"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23519</w:t>
            </w:r>
          </w:p>
        </w:tc>
        <w:tc>
          <w:tcPr>
            <w:tcW w:w="956" w:type="dxa"/>
            <w:noWrap/>
            <w:hideMark/>
          </w:tcPr>
          <w:p w14:paraId="73F639D4"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31465</w:t>
            </w:r>
          </w:p>
        </w:tc>
        <w:tc>
          <w:tcPr>
            <w:tcW w:w="956" w:type="dxa"/>
            <w:noWrap/>
            <w:hideMark/>
          </w:tcPr>
          <w:p w14:paraId="4815616B"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27432</w:t>
            </w:r>
          </w:p>
        </w:tc>
        <w:tc>
          <w:tcPr>
            <w:tcW w:w="956" w:type="dxa"/>
            <w:noWrap/>
            <w:hideMark/>
          </w:tcPr>
          <w:p w14:paraId="774712D2"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35257</w:t>
            </w:r>
          </w:p>
        </w:tc>
        <w:tc>
          <w:tcPr>
            <w:tcW w:w="956" w:type="dxa"/>
            <w:noWrap/>
            <w:hideMark/>
          </w:tcPr>
          <w:p w14:paraId="7CA9F108"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21482</w:t>
            </w:r>
          </w:p>
        </w:tc>
        <w:tc>
          <w:tcPr>
            <w:tcW w:w="956" w:type="dxa"/>
            <w:noWrap/>
            <w:hideMark/>
          </w:tcPr>
          <w:p w14:paraId="1E90ABBB"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27437</w:t>
            </w:r>
          </w:p>
        </w:tc>
        <w:tc>
          <w:tcPr>
            <w:tcW w:w="956" w:type="dxa"/>
            <w:noWrap/>
            <w:hideMark/>
          </w:tcPr>
          <w:p w14:paraId="2F18E719" w14:textId="77777777" w:rsidR="00A97D70" w:rsidRPr="00407020" w:rsidRDefault="00A97D70" w:rsidP="008B0B27">
            <w:pPr>
              <w:jc w:val="center"/>
              <w:rPr>
                <w:rFonts w:ascii="Arial" w:eastAsia="Times New Roman" w:hAnsi="Arial" w:cs="Arial"/>
                <w:color w:val="000000"/>
                <w:lang w:eastAsia="en-NZ"/>
              </w:rPr>
            </w:pPr>
            <w:r w:rsidRPr="00407020">
              <w:rPr>
                <w:rFonts w:ascii="Arial" w:eastAsia="Times New Roman" w:hAnsi="Arial" w:cs="Arial"/>
                <w:color w:val="000000"/>
                <w:lang w:eastAsia="en-NZ"/>
              </w:rPr>
              <w:t>19261</w:t>
            </w:r>
          </w:p>
        </w:tc>
        <w:tc>
          <w:tcPr>
            <w:tcW w:w="1260" w:type="dxa"/>
          </w:tcPr>
          <w:p w14:paraId="69666C77" w14:textId="77777777" w:rsidR="00A97D70" w:rsidRPr="00407020" w:rsidRDefault="00A97D70" w:rsidP="008B0B27">
            <w:pPr>
              <w:jc w:val="center"/>
              <w:rPr>
                <w:rFonts w:ascii="Arial" w:hAnsi="Arial" w:cs="Arial"/>
                <w:b/>
                <w:color w:val="000000"/>
              </w:rPr>
            </w:pPr>
            <w:r w:rsidRPr="00407020">
              <w:rPr>
                <w:rFonts w:ascii="Arial" w:hAnsi="Arial" w:cs="Arial"/>
                <w:b/>
                <w:color w:val="000000"/>
              </w:rPr>
              <w:t>229319</w:t>
            </w:r>
          </w:p>
        </w:tc>
      </w:tr>
      <w:tr w:rsidR="00A97D70" w:rsidRPr="00407020" w14:paraId="6235E309" w14:textId="77777777" w:rsidTr="001D4AD6">
        <w:trPr>
          <w:trHeight w:val="300"/>
        </w:trPr>
        <w:tc>
          <w:tcPr>
            <w:tcW w:w="958" w:type="dxa"/>
            <w:noWrap/>
          </w:tcPr>
          <w:p w14:paraId="7BB3E564"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Totals</w:t>
            </w:r>
          </w:p>
        </w:tc>
        <w:tc>
          <w:tcPr>
            <w:tcW w:w="957" w:type="dxa"/>
            <w:noWrap/>
          </w:tcPr>
          <w:p w14:paraId="3F741FBE"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50435</w:t>
            </w:r>
          </w:p>
        </w:tc>
        <w:tc>
          <w:tcPr>
            <w:tcW w:w="957" w:type="dxa"/>
            <w:noWrap/>
          </w:tcPr>
          <w:p w14:paraId="64F2A3F2"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42849</w:t>
            </w:r>
          </w:p>
        </w:tc>
        <w:tc>
          <w:tcPr>
            <w:tcW w:w="957" w:type="dxa"/>
            <w:noWrap/>
          </w:tcPr>
          <w:p w14:paraId="4B8878A5"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51474</w:t>
            </w:r>
          </w:p>
        </w:tc>
        <w:tc>
          <w:tcPr>
            <w:tcW w:w="956" w:type="dxa"/>
            <w:noWrap/>
          </w:tcPr>
          <w:p w14:paraId="4D8923D6"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57362</w:t>
            </w:r>
          </w:p>
        </w:tc>
        <w:tc>
          <w:tcPr>
            <w:tcW w:w="956" w:type="dxa"/>
            <w:noWrap/>
          </w:tcPr>
          <w:p w14:paraId="2130B70A"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55424</w:t>
            </w:r>
          </w:p>
        </w:tc>
        <w:tc>
          <w:tcPr>
            <w:tcW w:w="956" w:type="dxa"/>
            <w:noWrap/>
          </w:tcPr>
          <w:p w14:paraId="64EABC7E"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64175</w:t>
            </w:r>
          </w:p>
        </w:tc>
        <w:tc>
          <w:tcPr>
            <w:tcW w:w="956" w:type="dxa"/>
            <w:noWrap/>
          </w:tcPr>
          <w:p w14:paraId="1C4E2104"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55258</w:t>
            </w:r>
          </w:p>
        </w:tc>
        <w:tc>
          <w:tcPr>
            <w:tcW w:w="956" w:type="dxa"/>
            <w:noWrap/>
          </w:tcPr>
          <w:p w14:paraId="7C5557DD"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57358</w:t>
            </w:r>
          </w:p>
        </w:tc>
        <w:tc>
          <w:tcPr>
            <w:tcW w:w="956" w:type="dxa"/>
            <w:noWrap/>
          </w:tcPr>
          <w:p w14:paraId="7118A913"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40512</w:t>
            </w:r>
          </w:p>
        </w:tc>
        <w:tc>
          <w:tcPr>
            <w:tcW w:w="1260" w:type="dxa"/>
          </w:tcPr>
          <w:p w14:paraId="5A1B3E67" w14:textId="77777777" w:rsidR="00A97D70" w:rsidRPr="00407020" w:rsidRDefault="00A97D70" w:rsidP="008B0B27">
            <w:pPr>
              <w:jc w:val="center"/>
              <w:rPr>
                <w:rFonts w:ascii="Arial" w:eastAsia="Times New Roman" w:hAnsi="Arial" w:cs="Arial"/>
                <w:b/>
                <w:color w:val="000000"/>
                <w:lang w:eastAsia="en-NZ"/>
              </w:rPr>
            </w:pPr>
            <w:r w:rsidRPr="00407020">
              <w:rPr>
                <w:rFonts w:ascii="Arial" w:eastAsia="Times New Roman" w:hAnsi="Arial" w:cs="Arial"/>
                <w:b/>
                <w:color w:val="000000"/>
                <w:lang w:eastAsia="en-NZ"/>
              </w:rPr>
              <w:t>474847</w:t>
            </w:r>
          </w:p>
        </w:tc>
      </w:tr>
    </w:tbl>
    <w:p w14:paraId="4853C682" w14:textId="77777777" w:rsidR="006C1BC6" w:rsidRPr="000741B9" w:rsidRDefault="00407020" w:rsidP="008B0B27">
      <w:pPr>
        <w:rPr>
          <w:sz w:val="18"/>
        </w:rPr>
      </w:pPr>
      <w:r w:rsidRPr="000741B9">
        <w:rPr>
          <w:sz w:val="18"/>
        </w:rPr>
        <w:t>Source: New Zealand Customs Service</w:t>
      </w:r>
    </w:p>
    <w:p w14:paraId="50F334D4" w14:textId="77777777" w:rsidR="00186F98" w:rsidRDefault="00186F98" w:rsidP="00186F98"/>
    <w:p w14:paraId="1D3E8D6C" w14:textId="580A3574" w:rsidR="00186F98" w:rsidRDefault="00926234" w:rsidP="00186F98">
      <w:r>
        <w:fldChar w:fldCharType="begin"/>
      </w:r>
      <w:r>
        <w:instrText xml:space="preserve"> ADDIN </w:instrText>
      </w:r>
      <w:r>
        <w:fldChar w:fldCharType="end"/>
      </w:r>
    </w:p>
    <w:sectPr w:rsidR="00186F9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BD29" w14:textId="77777777" w:rsidR="0041518C" w:rsidRDefault="0041518C" w:rsidP="00631288">
      <w:pPr>
        <w:spacing w:after="0" w:line="240" w:lineRule="auto"/>
      </w:pPr>
      <w:r>
        <w:separator/>
      </w:r>
    </w:p>
  </w:endnote>
  <w:endnote w:type="continuationSeparator" w:id="0">
    <w:p w14:paraId="23D3F7B7" w14:textId="77777777" w:rsidR="0041518C" w:rsidRDefault="0041518C" w:rsidP="0063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107524"/>
      <w:docPartObj>
        <w:docPartGallery w:val="Page Numbers (Bottom of Page)"/>
        <w:docPartUnique/>
      </w:docPartObj>
    </w:sdtPr>
    <w:sdtEndPr>
      <w:rPr>
        <w:noProof/>
      </w:rPr>
    </w:sdtEndPr>
    <w:sdtContent>
      <w:p w14:paraId="5CD328DA" w14:textId="778D10FD" w:rsidR="008B0B27" w:rsidRDefault="008B0B27">
        <w:pPr>
          <w:pStyle w:val="Footer"/>
          <w:jc w:val="center"/>
        </w:pPr>
        <w:r>
          <w:fldChar w:fldCharType="begin"/>
        </w:r>
        <w:r>
          <w:instrText xml:space="preserve"> PAGE   \* MERGEFORMAT </w:instrText>
        </w:r>
        <w:r>
          <w:fldChar w:fldCharType="separate"/>
        </w:r>
        <w:r w:rsidR="00B672F2">
          <w:rPr>
            <w:noProof/>
          </w:rPr>
          <w:t>3</w:t>
        </w:r>
        <w:r>
          <w:rPr>
            <w:noProof/>
          </w:rPr>
          <w:fldChar w:fldCharType="end"/>
        </w:r>
      </w:p>
    </w:sdtContent>
  </w:sdt>
  <w:p w14:paraId="2BD3290F" w14:textId="77777777" w:rsidR="008B0B27" w:rsidRDefault="008B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E2E2" w14:textId="77777777" w:rsidR="0041518C" w:rsidRDefault="0041518C" w:rsidP="00631288">
      <w:pPr>
        <w:spacing w:after="0" w:line="240" w:lineRule="auto"/>
      </w:pPr>
      <w:r>
        <w:separator/>
      </w:r>
    </w:p>
  </w:footnote>
  <w:footnote w:type="continuationSeparator" w:id="0">
    <w:p w14:paraId="530CC670" w14:textId="77777777" w:rsidR="0041518C" w:rsidRDefault="0041518C" w:rsidP="0063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5E54EC"/>
    <w:lvl w:ilvl="0">
      <w:numFmt w:val="bullet"/>
      <w:lvlText w:val="*"/>
      <w:lvlJc w:val="left"/>
    </w:lvl>
  </w:abstractNum>
  <w:abstractNum w:abstractNumId="1" w15:restartNumberingAfterBreak="0">
    <w:nsid w:val="024007A7"/>
    <w:multiLevelType w:val="hybridMultilevel"/>
    <w:tmpl w:val="6978B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3B2498"/>
    <w:multiLevelType w:val="hybridMultilevel"/>
    <w:tmpl w:val="3CA4C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B26F3"/>
    <w:multiLevelType w:val="hybridMultilevel"/>
    <w:tmpl w:val="B5FE8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406023"/>
    <w:multiLevelType w:val="hybridMultilevel"/>
    <w:tmpl w:val="D8F23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D07F8E"/>
    <w:multiLevelType w:val="hybridMultilevel"/>
    <w:tmpl w:val="77208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2B7665"/>
    <w:multiLevelType w:val="hybridMultilevel"/>
    <w:tmpl w:val="9CAA90D2"/>
    <w:lvl w:ilvl="0" w:tplc="33C698AE">
      <w:numFmt w:val="bullet"/>
      <w:lvlText w:val="-"/>
      <w:lvlJc w:val="left"/>
      <w:pPr>
        <w:ind w:left="502"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071463"/>
    <w:multiLevelType w:val="hybridMultilevel"/>
    <w:tmpl w:val="EAB4A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106D12"/>
    <w:multiLevelType w:val="hybridMultilevel"/>
    <w:tmpl w:val="C5CA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4A4E01"/>
    <w:multiLevelType w:val="hybridMultilevel"/>
    <w:tmpl w:val="8A6E3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A67F25"/>
    <w:multiLevelType w:val="hybridMultilevel"/>
    <w:tmpl w:val="E4BED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822F5E"/>
    <w:multiLevelType w:val="hybridMultilevel"/>
    <w:tmpl w:val="8598C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574AAF"/>
    <w:multiLevelType w:val="hybridMultilevel"/>
    <w:tmpl w:val="1AB640C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15:restartNumberingAfterBreak="0">
    <w:nsid w:val="50D13179"/>
    <w:multiLevelType w:val="hybridMultilevel"/>
    <w:tmpl w:val="E0E8A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2E0FC1"/>
    <w:multiLevelType w:val="hybridMultilevel"/>
    <w:tmpl w:val="3C14258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586C6E80"/>
    <w:multiLevelType w:val="hybridMultilevel"/>
    <w:tmpl w:val="E12AC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07727C"/>
    <w:multiLevelType w:val="hybridMultilevel"/>
    <w:tmpl w:val="91D4E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E402D8"/>
    <w:multiLevelType w:val="hybridMultilevel"/>
    <w:tmpl w:val="B1F82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563F8B"/>
    <w:multiLevelType w:val="hybridMultilevel"/>
    <w:tmpl w:val="D28CD544"/>
    <w:lvl w:ilvl="0" w:tplc="33C698AE">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74390E17"/>
    <w:multiLevelType w:val="hybridMultilevel"/>
    <w:tmpl w:val="6AFA8C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DF3830"/>
    <w:multiLevelType w:val="hybridMultilevel"/>
    <w:tmpl w:val="846EE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466018"/>
    <w:multiLevelType w:val="hybridMultilevel"/>
    <w:tmpl w:val="53B83B4A"/>
    <w:lvl w:ilvl="0" w:tplc="9D5EB79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7465E2"/>
    <w:multiLevelType w:val="hybridMultilevel"/>
    <w:tmpl w:val="CA328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7D0F1C"/>
    <w:multiLevelType w:val="hybridMultilevel"/>
    <w:tmpl w:val="EF4CECAE"/>
    <w:lvl w:ilvl="0" w:tplc="33C698AE">
      <w:numFmt w:val="bullet"/>
      <w:lvlText w:val="-"/>
      <w:lvlJc w:val="left"/>
      <w:pPr>
        <w:ind w:left="502" w:hanging="360"/>
      </w:pPr>
      <w:rPr>
        <w:rFonts w:ascii="Calibri" w:eastAsiaTheme="minorHAnsi" w:hAnsi="Calibri" w:cs="Calibri"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19"/>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11"/>
  </w:num>
  <w:num w:numId="6">
    <w:abstractNumId w:val="8"/>
  </w:num>
  <w:num w:numId="7">
    <w:abstractNumId w:val="16"/>
  </w:num>
  <w:num w:numId="8">
    <w:abstractNumId w:val="4"/>
  </w:num>
  <w:num w:numId="9">
    <w:abstractNumId w:val="14"/>
  </w:num>
  <w:num w:numId="10">
    <w:abstractNumId w:val="23"/>
  </w:num>
  <w:num w:numId="11">
    <w:abstractNumId w:val="6"/>
  </w:num>
  <w:num w:numId="12">
    <w:abstractNumId w:val="2"/>
  </w:num>
  <w:num w:numId="13">
    <w:abstractNumId w:val="10"/>
  </w:num>
  <w:num w:numId="14">
    <w:abstractNumId w:val="15"/>
  </w:num>
  <w:num w:numId="15">
    <w:abstractNumId w:val="3"/>
  </w:num>
  <w:num w:numId="16">
    <w:abstractNumId w:val="22"/>
  </w:num>
  <w:num w:numId="17">
    <w:abstractNumId w:val="1"/>
  </w:num>
  <w:num w:numId="18">
    <w:abstractNumId w:val="17"/>
  </w:num>
  <w:num w:numId="19">
    <w:abstractNumId w:val="9"/>
  </w:num>
  <w:num w:numId="20">
    <w:abstractNumId w:val="20"/>
  </w:num>
  <w:num w:numId="21">
    <w:abstractNumId w:val="18"/>
  </w:num>
  <w:num w:numId="22">
    <w:abstractNumId w:val="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pw52atcxw998esway5r02srws0s0r5r2xd&quot;&gt;My EndNote Library&lt;record-ids&gt;&lt;item&gt;5&lt;/item&gt;&lt;item&gt;26&lt;/item&gt;&lt;item&gt;126&lt;/item&gt;&lt;item&gt;191&lt;/item&gt;&lt;item&gt;251&lt;/item&gt;&lt;item&gt;266&lt;/item&gt;&lt;item&gt;269&lt;/item&gt;&lt;item&gt;271&lt;/item&gt;&lt;item&gt;272&lt;/item&gt;&lt;item&gt;273&lt;/item&gt;&lt;item&gt;274&lt;/item&gt;&lt;item&gt;276&lt;/item&gt;&lt;item&gt;277&lt;/item&gt;&lt;item&gt;279&lt;/item&gt;&lt;item&gt;280&lt;/item&gt;&lt;item&gt;281&lt;/item&gt;&lt;item&gt;282&lt;/item&gt;&lt;item&gt;283&lt;/item&gt;&lt;item&gt;284&lt;/item&gt;&lt;/record-ids&gt;&lt;/item&gt;&lt;/Libraries&gt;"/>
  </w:docVars>
  <w:rsids>
    <w:rsidRoot w:val="0072038D"/>
    <w:rsid w:val="000055F6"/>
    <w:rsid w:val="00007E8C"/>
    <w:rsid w:val="00016751"/>
    <w:rsid w:val="000214A5"/>
    <w:rsid w:val="000216DB"/>
    <w:rsid w:val="00021D95"/>
    <w:rsid w:val="00041EDA"/>
    <w:rsid w:val="000435A1"/>
    <w:rsid w:val="00047F9A"/>
    <w:rsid w:val="00051B12"/>
    <w:rsid w:val="000741B9"/>
    <w:rsid w:val="000A169A"/>
    <w:rsid w:val="000C08E3"/>
    <w:rsid w:val="000C1C7F"/>
    <w:rsid w:val="000C3D47"/>
    <w:rsid w:val="000F0E5E"/>
    <w:rsid w:val="00105FC7"/>
    <w:rsid w:val="0011394D"/>
    <w:rsid w:val="00154216"/>
    <w:rsid w:val="001838BE"/>
    <w:rsid w:val="00186F98"/>
    <w:rsid w:val="001A69DA"/>
    <w:rsid w:val="001A766F"/>
    <w:rsid w:val="001B25A0"/>
    <w:rsid w:val="001B2EDF"/>
    <w:rsid w:val="001D1454"/>
    <w:rsid w:val="001D4AD6"/>
    <w:rsid w:val="001E6EEB"/>
    <w:rsid w:val="001E7770"/>
    <w:rsid w:val="00202181"/>
    <w:rsid w:val="002040F7"/>
    <w:rsid w:val="0021320D"/>
    <w:rsid w:val="00232DBF"/>
    <w:rsid w:val="00244D4C"/>
    <w:rsid w:val="002536EB"/>
    <w:rsid w:val="002550F2"/>
    <w:rsid w:val="002606A3"/>
    <w:rsid w:val="00281CEE"/>
    <w:rsid w:val="00291FD9"/>
    <w:rsid w:val="002B1120"/>
    <w:rsid w:val="002C65AE"/>
    <w:rsid w:val="002D26DC"/>
    <w:rsid w:val="002E09CF"/>
    <w:rsid w:val="002F0ADA"/>
    <w:rsid w:val="0033141A"/>
    <w:rsid w:val="0036074F"/>
    <w:rsid w:val="00386DB2"/>
    <w:rsid w:val="003A0F6F"/>
    <w:rsid w:val="003D1D35"/>
    <w:rsid w:val="003D585C"/>
    <w:rsid w:val="00401138"/>
    <w:rsid w:val="00405065"/>
    <w:rsid w:val="00407020"/>
    <w:rsid w:val="00413D17"/>
    <w:rsid w:val="0041518C"/>
    <w:rsid w:val="00435E31"/>
    <w:rsid w:val="00437676"/>
    <w:rsid w:val="00462262"/>
    <w:rsid w:val="004E1470"/>
    <w:rsid w:val="004E2732"/>
    <w:rsid w:val="004E7C41"/>
    <w:rsid w:val="004F0428"/>
    <w:rsid w:val="004F2701"/>
    <w:rsid w:val="00502FEF"/>
    <w:rsid w:val="00521B05"/>
    <w:rsid w:val="005413C9"/>
    <w:rsid w:val="00544320"/>
    <w:rsid w:val="00545359"/>
    <w:rsid w:val="005507E4"/>
    <w:rsid w:val="00594447"/>
    <w:rsid w:val="005B1078"/>
    <w:rsid w:val="005D64C2"/>
    <w:rsid w:val="005E2517"/>
    <w:rsid w:val="005E6A5E"/>
    <w:rsid w:val="005F7B2F"/>
    <w:rsid w:val="00631288"/>
    <w:rsid w:val="00636669"/>
    <w:rsid w:val="0063712A"/>
    <w:rsid w:val="00637FC9"/>
    <w:rsid w:val="006415A4"/>
    <w:rsid w:val="00675EFA"/>
    <w:rsid w:val="00687F4A"/>
    <w:rsid w:val="00694C60"/>
    <w:rsid w:val="006A3595"/>
    <w:rsid w:val="006C1BC6"/>
    <w:rsid w:val="006C2123"/>
    <w:rsid w:val="006D763E"/>
    <w:rsid w:val="006F2B35"/>
    <w:rsid w:val="006F7826"/>
    <w:rsid w:val="007068A4"/>
    <w:rsid w:val="00710B15"/>
    <w:rsid w:val="007179D6"/>
    <w:rsid w:val="0072038D"/>
    <w:rsid w:val="00720985"/>
    <w:rsid w:val="00721551"/>
    <w:rsid w:val="00727CDF"/>
    <w:rsid w:val="00730856"/>
    <w:rsid w:val="00744CC5"/>
    <w:rsid w:val="0074615D"/>
    <w:rsid w:val="007556E7"/>
    <w:rsid w:val="00761D1A"/>
    <w:rsid w:val="00782536"/>
    <w:rsid w:val="00784D3C"/>
    <w:rsid w:val="0079503A"/>
    <w:rsid w:val="00795B29"/>
    <w:rsid w:val="007A32F1"/>
    <w:rsid w:val="007B2BBB"/>
    <w:rsid w:val="007B596A"/>
    <w:rsid w:val="007C42E3"/>
    <w:rsid w:val="007F4BFC"/>
    <w:rsid w:val="0081725E"/>
    <w:rsid w:val="00823FF3"/>
    <w:rsid w:val="00831172"/>
    <w:rsid w:val="00832FDB"/>
    <w:rsid w:val="00834660"/>
    <w:rsid w:val="0084403B"/>
    <w:rsid w:val="00847E1B"/>
    <w:rsid w:val="00883415"/>
    <w:rsid w:val="008A45B9"/>
    <w:rsid w:val="008B0B27"/>
    <w:rsid w:val="008E0E14"/>
    <w:rsid w:val="008F2171"/>
    <w:rsid w:val="00926234"/>
    <w:rsid w:val="00945FA4"/>
    <w:rsid w:val="009A5577"/>
    <w:rsid w:val="009A703B"/>
    <w:rsid w:val="009A7EBE"/>
    <w:rsid w:val="009B4090"/>
    <w:rsid w:val="00A149C4"/>
    <w:rsid w:val="00A31B4E"/>
    <w:rsid w:val="00A7021C"/>
    <w:rsid w:val="00A9350C"/>
    <w:rsid w:val="00A97D70"/>
    <w:rsid w:val="00AD3942"/>
    <w:rsid w:val="00AE62E6"/>
    <w:rsid w:val="00AF6779"/>
    <w:rsid w:val="00AF6C9A"/>
    <w:rsid w:val="00B25F3F"/>
    <w:rsid w:val="00B46E03"/>
    <w:rsid w:val="00B672F2"/>
    <w:rsid w:val="00B83F33"/>
    <w:rsid w:val="00B85B2D"/>
    <w:rsid w:val="00BE66DE"/>
    <w:rsid w:val="00C04DC3"/>
    <w:rsid w:val="00C07F30"/>
    <w:rsid w:val="00C16793"/>
    <w:rsid w:val="00C27BF1"/>
    <w:rsid w:val="00C50376"/>
    <w:rsid w:val="00C621DF"/>
    <w:rsid w:val="00C7025E"/>
    <w:rsid w:val="00C7133E"/>
    <w:rsid w:val="00C852CF"/>
    <w:rsid w:val="00C90520"/>
    <w:rsid w:val="00C974EC"/>
    <w:rsid w:val="00CA139E"/>
    <w:rsid w:val="00CA586B"/>
    <w:rsid w:val="00CB1A16"/>
    <w:rsid w:val="00CB2233"/>
    <w:rsid w:val="00CB73E3"/>
    <w:rsid w:val="00CC5AE8"/>
    <w:rsid w:val="00CC603C"/>
    <w:rsid w:val="00CE0829"/>
    <w:rsid w:val="00D32833"/>
    <w:rsid w:val="00D3508E"/>
    <w:rsid w:val="00D367AD"/>
    <w:rsid w:val="00D41308"/>
    <w:rsid w:val="00D44974"/>
    <w:rsid w:val="00D56116"/>
    <w:rsid w:val="00D70073"/>
    <w:rsid w:val="00D81CFA"/>
    <w:rsid w:val="00D95F8F"/>
    <w:rsid w:val="00DA57BB"/>
    <w:rsid w:val="00DD3491"/>
    <w:rsid w:val="00DD37F3"/>
    <w:rsid w:val="00DD3F62"/>
    <w:rsid w:val="00DD751C"/>
    <w:rsid w:val="00DE78F5"/>
    <w:rsid w:val="00DF78E2"/>
    <w:rsid w:val="00E12D9A"/>
    <w:rsid w:val="00E16732"/>
    <w:rsid w:val="00E21A17"/>
    <w:rsid w:val="00E41A7B"/>
    <w:rsid w:val="00E5217C"/>
    <w:rsid w:val="00E64FC4"/>
    <w:rsid w:val="00E91FC0"/>
    <w:rsid w:val="00EA521D"/>
    <w:rsid w:val="00EA7A2C"/>
    <w:rsid w:val="00EF3D98"/>
    <w:rsid w:val="00F01842"/>
    <w:rsid w:val="00F35C9A"/>
    <w:rsid w:val="00F6675E"/>
    <w:rsid w:val="00F87E06"/>
    <w:rsid w:val="00F97891"/>
    <w:rsid w:val="00FA4B7A"/>
    <w:rsid w:val="00FA766E"/>
    <w:rsid w:val="00FB03D2"/>
    <w:rsid w:val="00FB07E4"/>
    <w:rsid w:val="00FB3B7B"/>
    <w:rsid w:val="00FD1234"/>
    <w:rsid w:val="00FF51E5"/>
    <w:rsid w:val="00FF6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360C"/>
  <w15:chartTrackingRefBased/>
  <w15:docId w15:val="{B9C0D8E1-5603-4225-B5AD-6221E428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A3"/>
  </w:style>
  <w:style w:type="paragraph" w:styleId="Heading1">
    <w:name w:val="heading 1"/>
    <w:basedOn w:val="Normal"/>
    <w:link w:val="Heading1Char"/>
    <w:uiPriority w:val="9"/>
    <w:qFormat/>
    <w:rsid w:val="002E0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A1"/>
    <w:pPr>
      <w:ind w:left="720"/>
      <w:contextualSpacing/>
    </w:pPr>
  </w:style>
  <w:style w:type="character" w:styleId="Hyperlink">
    <w:name w:val="Hyperlink"/>
    <w:basedOn w:val="DefaultParagraphFont"/>
    <w:uiPriority w:val="99"/>
    <w:unhideWhenUsed/>
    <w:rsid w:val="001838BE"/>
    <w:rPr>
      <w:color w:val="0563C1" w:themeColor="hyperlink"/>
      <w:u w:val="single"/>
    </w:rPr>
  </w:style>
  <w:style w:type="character" w:styleId="FollowedHyperlink">
    <w:name w:val="FollowedHyperlink"/>
    <w:basedOn w:val="DefaultParagraphFont"/>
    <w:uiPriority w:val="99"/>
    <w:semiHidden/>
    <w:unhideWhenUsed/>
    <w:rsid w:val="00047F9A"/>
    <w:rPr>
      <w:color w:val="954F72" w:themeColor="followedHyperlink"/>
      <w:u w:val="single"/>
    </w:rPr>
  </w:style>
  <w:style w:type="paragraph" w:customStyle="1" w:styleId="EndNoteBibliographyTitle">
    <w:name w:val="EndNote Bibliography Title"/>
    <w:basedOn w:val="Normal"/>
    <w:link w:val="EndNoteBibliographyTitleChar"/>
    <w:rsid w:val="001A766F"/>
    <w:pPr>
      <w:spacing w:after="0"/>
      <w:jc w:val="center"/>
    </w:pPr>
    <w:rPr>
      <w:rFonts w:ascii="Calibri" w:eastAsia="SimSun" w:hAnsi="Calibri" w:cs="Calibri"/>
      <w:noProof/>
      <w:lang w:val="en-US"/>
    </w:rPr>
  </w:style>
  <w:style w:type="character" w:customStyle="1" w:styleId="EndNoteBibliographyTitleChar">
    <w:name w:val="EndNote Bibliography Title Char"/>
    <w:basedOn w:val="DefaultParagraphFont"/>
    <w:link w:val="EndNoteBibliographyTitle"/>
    <w:rsid w:val="001A766F"/>
    <w:rPr>
      <w:rFonts w:ascii="Calibri" w:eastAsia="SimSun" w:hAnsi="Calibri" w:cs="Calibri"/>
      <w:noProof/>
      <w:lang w:val="en-US"/>
    </w:rPr>
  </w:style>
  <w:style w:type="paragraph" w:customStyle="1" w:styleId="EndNoteBibliography">
    <w:name w:val="EndNote Bibliography"/>
    <w:basedOn w:val="Normal"/>
    <w:link w:val="EndNoteBibliographyChar"/>
    <w:rsid w:val="001A766F"/>
    <w:pPr>
      <w:spacing w:line="240" w:lineRule="auto"/>
    </w:pPr>
    <w:rPr>
      <w:rFonts w:ascii="Calibri" w:eastAsia="SimSun" w:hAnsi="Calibri" w:cs="Calibri"/>
      <w:noProof/>
      <w:lang w:val="en-US"/>
    </w:rPr>
  </w:style>
  <w:style w:type="character" w:customStyle="1" w:styleId="EndNoteBibliographyChar">
    <w:name w:val="EndNote Bibliography Char"/>
    <w:basedOn w:val="DefaultParagraphFont"/>
    <w:link w:val="EndNoteBibliography"/>
    <w:rsid w:val="001A766F"/>
    <w:rPr>
      <w:rFonts w:ascii="Calibri" w:eastAsia="SimSun" w:hAnsi="Calibri" w:cs="Calibri"/>
      <w:noProof/>
      <w:lang w:val="en-US"/>
    </w:rPr>
  </w:style>
  <w:style w:type="character" w:customStyle="1" w:styleId="Heading1Char">
    <w:name w:val="Heading 1 Char"/>
    <w:basedOn w:val="DefaultParagraphFont"/>
    <w:link w:val="Heading1"/>
    <w:uiPriority w:val="9"/>
    <w:rsid w:val="002E09CF"/>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2E09CF"/>
    <w:rPr>
      <w:i/>
      <w:iCs/>
    </w:rPr>
  </w:style>
  <w:style w:type="table" w:styleId="TableGrid">
    <w:name w:val="Table Grid"/>
    <w:basedOn w:val="TableNormal"/>
    <w:uiPriority w:val="39"/>
    <w:rsid w:val="008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88"/>
  </w:style>
  <w:style w:type="paragraph" w:styleId="Footer">
    <w:name w:val="footer"/>
    <w:basedOn w:val="Normal"/>
    <w:link w:val="FooterChar"/>
    <w:uiPriority w:val="99"/>
    <w:unhideWhenUsed/>
    <w:rsid w:val="00631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88"/>
  </w:style>
  <w:style w:type="paragraph" w:styleId="BalloonText">
    <w:name w:val="Balloon Text"/>
    <w:basedOn w:val="Normal"/>
    <w:link w:val="BalloonTextChar"/>
    <w:uiPriority w:val="99"/>
    <w:semiHidden/>
    <w:unhideWhenUsed/>
    <w:rsid w:val="0020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81"/>
    <w:rPr>
      <w:rFonts w:ascii="Segoe UI" w:hAnsi="Segoe UI" w:cs="Segoe UI"/>
      <w:sz w:val="18"/>
      <w:szCs w:val="18"/>
    </w:rPr>
  </w:style>
  <w:style w:type="character" w:styleId="FootnoteReference">
    <w:name w:val="footnote reference"/>
    <w:basedOn w:val="DefaultParagraphFont"/>
    <w:uiPriority w:val="99"/>
    <w:semiHidden/>
    <w:unhideWhenUsed/>
    <w:rsid w:val="00C7133E"/>
    <w:rPr>
      <w:vertAlign w:val="superscript"/>
    </w:rPr>
  </w:style>
  <w:style w:type="paragraph" w:styleId="Caption">
    <w:name w:val="caption"/>
    <w:basedOn w:val="Normal"/>
    <w:next w:val="Normal"/>
    <w:uiPriority w:val="35"/>
    <w:unhideWhenUsed/>
    <w:qFormat/>
    <w:rsid w:val="0079503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75EFA"/>
    <w:rPr>
      <w:sz w:val="16"/>
      <w:szCs w:val="16"/>
    </w:rPr>
  </w:style>
  <w:style w:type="paragraph" w:styleId="CommentText">
    <w:name w:val="annotation text"/>
    <w:basedOn w:val="Normal"/>
    <w:link w:val="CommentTextChar"/>
    <w:uiPriority w:val="99"/>
    <w:semiHidden/>
    <w:unhideWhenUsed/>
    <w:rsid w:val="00675EFA"/>
    <w:pPr>
      <w:spacing w:line="240" w:lineRule="auto"/>
    </w:pPr>
    <w:rPr>
      <w:sz w:val="20"/>
      <w:szCs w:val="20"/>
    </w:rPr>
  </w:style>
  <w:style w:type="character" w:customStyle="1" w:styleId="CommentTextChar">
    <w:name w:val="Comment Text Char"/>
    <w:basedOn w:val="DefaultParagraphFont"/>
    <w:link w:val="CommentText"/>
    <w:uiPriority w:val="99"/>
    <w:semiHidden/>
    <w:rsid w:val="00675EFA"/>
    <w:rPr>
      <w:sz w:val="20"/>
      <w:szCs w:val="20"/>
    </w:rPr>
  </w:style>
  <w:style w:type="paragraph" w:styleId="CommentSubject">
    <w:name w:val="annotation subject"/>
    <w:basedOn w:val="CommentText"/>
    <w:next w:val="CommentText"/>
    <w:link w:val="CommentSubjectChar"/>
    <w:uiPriority w:val="99"/>
    <w:semiHidden/>
    <w:unhideWhenUsed/>
    <w:rsid w:val="00675EFA"/>
    <w:rPr>
      <w:b/>
      <w:bCs/>
    </w:rPr>
  </w:style>
  <w:style w:type="character" w:customStyle="1" w:styleId="CommentSubjectChar">
    <w:name w:val="Comment Subject Char"/>
    <w:basedOn w:val="CommentTextChar"/>
    <w:link w:val="CommentSubject"/>
    <w:uiPriority w:val="99"/>
    <w:semiHidden/>
    <w:rsid w:val="00675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85554">
      <w:bodyDiv w:val="1"/>
      <w:marLeft w:val="0"/>
      <w:marRight w:val="0"/>
      <w:marTop w:val="0"/>
      <w:marBottom w:val="0"/>
      <w:divBdr>
        <w:top w:val="none" w:sz="0" w:space="0" w:color="auto"/>
        <w:left w:val="none" w:sz="0" w:space="0" w:color="auto"/>
        <w:bottom w:val="none" w:sz="0" w:space="0" w:color="auto"/>
        <w:right w:val="none" w:sz="0" w:space="0" w:color="auto"/>
      </w:divBdr>
      <w:divsChild>
        <w:div w:id="283660001">
          <w:marLeft w:val="0"/>
          <w:marRight w:val="0"/>
          <w:marTop w:val="0"/>
          <w:marBottom w:val="0"/>
          <w:divBdr>
            <w:top w:val="none" w:sz="0" w:space="0" w:color="auto"/>
            <w:left w:val="none" w:sz="0" w:space="0" w:color="auto"/>
            <w:bottom w:val="none" w:sz="0" w:space="0" w:color="auto"/>
            <w:right w:val="none" w:sz="0" w:space="0" w:color="auto"/>
          </w:divBdr>
        </w:div>
      </w:divsChild>
    </w:div>
    <w:div w:id="430244424">
      <w:bodyDiv w:val="1"/>
      <w:marLeft w:val="0"/>
      <w:marRight w:val="0"/>
      <w:marTop w:val="0"/>
      <w:marBottom w:val="0"/>
      <w:divBdr>
        <w:top w:val="none" w:sz="0" w:space="0" w:color="auto"/>
        <w:left w:val="none" w:sz="0" w:space="0" w:color="auto"/>
        <w:bottom w:val="none" w:sz="0" w:space="0" w:color="auto"/>
        <w:right w:val="none" w:sz="0" w:space="0" w:color="auto"/>
      </w:divBdr>
      <w:divsChild>
        <w:div w:id="461001020">
          <w:marLeft w:val="0"/>
          <w:marRight w:val="0"/>
          <w:marTop w:val="0"/>
          <w:marBottom w:val="0"/>
          <w:divBdr>
            <w:top w:val="none" w:sz="0" w:space="0" w:color="auto"/>
            <w:left w:val="none" w:sz="0" w:space="0" w:color="auto"/>
            <w:bottom w:val="none" w:sz="0" w:space="0" w:color="auto"/>
            <w:right w:val="none" w:sz="0" w:space="0" w:color="auto"/>
          </w:divBdr>
        </w:div>
        <w:div w:id="1570849170">
          <w:marLeft w:val="0"/>
          <w:marRight w:val="0"/>
          <w:marTop w:val="0"/>
          <w:marBottom w:val="0"/>
          <w:divBdr>
            <w:top w:val="none" w:sz="0" w:space="0" w:color="auto"/>
            <w:left w:val="none" w:sz="0" w:space="0" w:color="auto"/>
            <w:bottom w:val="none" w:sz="0" w:space="0" w:color="auto"/>
            <w:right w:val="none" w:sz="0" w:space="0" w:color="auto"/>
          </w:divBdr>
        </w:div>
      </w:divsChild>
    </w:div>
    <w:div w:id="529991961">
      <w:bodyDiv w:val="1"/>
      <w:marLeft w:val="0"/>
      <w:marRight w:val="0"/>
      <w:marTop w:val="0"/>
      <w:marBottom w:val="0"/>
      <w:divBdr>
        <w:top w:val="none" w:sz="0" w:space="0" w:color="auto"/>
        <w:left w:val="none" w:sz="0" w:space="0" w:color="auto"/>
        <w:bottom w:val="none" w:sz="0" w:space="0" w:color="auto"/>
        <w:right w:val="none" w:sz="0" w:space="0" w:color="auto"/>
      </w:divBdr>
      <w:divsChild>
        <w:div w:id="250815224">
          <w:marLeft w:val="0"/>
          <w:marRight w:val="0"/>
          <w:marTop w:val="0"/>
          <w:marBottom w:val="0"/>
          <w:divBdr>
            <w:top w:val="none" w:sz="0" w:space="0" w:color="auto"/>
            <w:left w:val="none" w:sz="0" w:space="0" w:color="auto"/>
            <w:bottom w:val="none" w:sz="0" w:space="0" w:color="auto"/>
            <w:right w:val="none" w:sz="0" w:space="0" w:color="auto"/>
          </w:divBdr>
        </w:div>
        <w:div w:id="552154552">
          <w:marLeft w:val="0"/>
          <w:marRight w:val="0"/>
          <w:marTop w:val="0"/>
          <w:marBottom w:val="0"/>
          <w:divBdr>
            <w:top w:val="none" w:sz="0" w:space="0" w:color="auto"/>
            <w:left w:val="none" w:sz="0" w:space="0" w:color="auto"/>
            <w:bottom w:val="none" w:sz="0" w:space="0" w:color="auto"/>
            <w:right w:val="none" w:sz="0" w:space="0" w:color="auto"/>
          </w:divBdr>
        </w:div>
        <w:div w:id="1013647892">
          <w:marLeft w:val="0"/>
          <w:marRight w:val="0"/>
          <w:marTop w:val="0"/>
          <w:marBottom w:val="0"/>
          <w:divBdr>
            <w:top w:val="none" w:sz="0" w:space="0" w:color="auto"/>
            <w:left w:val="none" w:sz="0" w:space="0" w:color="auto"/>
            <w:bottom w:val="none" w:sz="0" w:space="0" w:color="auto"/>
            <w:right w:val="none" w:sz="0" w:space="0" w:color="auto"/>
          </w:divBdr>
        </w:div>
        <w:div w:id="1599875301">
          <w:marLeft w:val="0"/>
          <w:marRight w:val="0"/>
          <w:marTop w:val="0"/>
          <w:marBottom w:val="0"/>
          <w:divBdr>
            <w:top w:val="none" w:sz="0" w:space="0" w:color="auto"/>
            <w:left w:val="none" w:sz="0" w:space="0" w:color="auto"/>
            <w:bottom w:val="none" w:sz="0" w:space="0" w:color="auto"/>
            <w:right w:val="none" w:sz="0" w:space="0" w:color="auto"/>
          </w:divBdr>
        </w:div>
        <w:div w:id="1641768655">
          <w:marLeft w:val="0"/>
          <w:marRight w:val="0"/>
          <w:marTop w:val="0"/>
          <w:marBottom w:val="0"/>
          <w:divBdr>
            <w:top w:val="none" w:sz="0" w:space="0" w:color="auto"/>
            <w:left w:val="none" w:sz="0" w:space="0" w:color="auto"/>
            <w:bottom w:val="none" w:sz="0" w:space="0" w:color="auto"/>
            <w:right w:val="none" w:sz="0" w:space="0" w:color="auto"/>
          </w:divBdr>
        </w:div>
        <w:div w:id="1744180154">
          <w:marLeft w:val="0"/>
          <w:marRight w:val="0"/>
          <w:marTop w:val="0"/>
          <w:marBottom w:val="0"/>
          <w:divBdr>
            <w:top w:val="none" w:sz="0" w:space="0" w:color="auto"/>
            <w:left w:val="none" w:sz="0" w:space="0" w:color="auto"/>
            <w:bottom w:val="none" w:sz="0" w:space="0" w:color="auto"/>
            <w:right w:val="none" w:sz="0" w:space="0" w:color="auto"/>
          </w:divBdr>
        </w:div>
        <w:div w:id="1875532625">
          <w:marLeft w:val="0"/>
          <w:marRight w:val="0"/>
          <w:marTop w:val="0"/>
          <w:marBottom w:val="0"/>
          <w:divBdr>
            <w:top w:val="none" w:sz="0" w:space="0" w:color="auto"/>
            <w:left w:val="none" w:sz="0" w:space="0" w:color="auto"/>
            <w:bottom w:val="none" w:sz="0" w:space="0" w:color="auto"/>
            <w:right w:val="none" w:sz="0" w:space="0" w:color="auto"/>
          </w:divBdr>
        </w:div>
        <w:div w:id="2140995678">
          <w:marLeft w:val="0"/>
          <w:marRight w:val="0"/>
          <w:marTop w:val="0"/>
          <w:marBottom w:val="0"/>
          <w:divBdr>
            <w:top w:val="none" w:sz="0" w:space="0" w:color="auto"/>
            <w:left w:val="none" w:sz="0" w:space="0" w:color="auto"/>
            <w:bottom w:val="none" w:sz="0" w:space="0" w:color="auto"/>
            <w:right w:val="none" w:sz="0" w:space="0" w:color="auto"/>
          </w:divBdr>
          <w:divsChild>
            <w:div w:id="827944294">
              <w:marLeft w:val="0"/>
              <w:marRight w:val="0"/>
              <w:marTop w:val="0"/>
              <w:marBottom w:val="0"/>
              <w:divBdr>
                <w:top w:val="none" w:sz="0" w:space="0" w:color="auto"/>
                <w:left w:val="none" w:sz="0" w:space="0" w:color="auto"/>
                <w:bottom w:val="none" w:sz="0" w:space="0" w:color="auto"/>
                <w:right w:val="none" w:sz="0" w:space="0" w:color="auto"/>
              </w:divBdr>
              <w:divsChild>
                <w:div w:id="1247690889">
                  <w:marLeft w:val="0"/>
                  <w:marRight w:val="0"/>
                  <w:marTop w:val="0"/>
                  <w:marBottom w:val="0"/>
                  <w:divBdr>
                    <w:top w:val="none" w:sz="0" w:space="0" w:color="auto"/>
                    <w:left w:val="none" w:sz="0" w:space="0" w:color="auto"/>
                    <w:bottom w:val="none" w:sz="0" w:space="0" w:color="auto"/>
                    <w:right w:val="none" w:sz="0" w:space="0" w:color="auto"/>
                  </w:divBdr>
                </w:div>
                <w:div w:id="1917789241">
                  <w:marLeft w:val="0"/>
                  <w:marRight w:val="0"/>
                  <w:marTop w:val="0"/>
                  <w:marBottom w:val="0"/>
                  <w:divBdr>
                    <w:top w:val="none" w:sz="0" w:space="0" w:color="auto"/>
                    <w:left w:val="none" w:sz="0" w:space="0" w:color="auto"/>
                    <w:bottom w:val="none" w:sz="0" w:space="0" w:color="auto"/>
                    <w:right w:val="none" w:sz="0" w:space="0" w:color="auto"/>
                  </w:divBdr>
                </w:div>
              </w:divsChild>
            </w:div>
            <w:div w:id="930431957">
              <w:marLeft w:val="0"/>
              <w:marRight w:val="0"/>
              <w:marTop w:val="0"/>
              <w:marBottom w:val="0"/>
              <w:divBdr>
                <w:top w:val="none" w:sz="0" w:space="0" w:color="auto"/>
                <w:left w:val="none" w:sz="0" w:space="0" w:color="auto"/>
                <w:bottom w:val="none" w:sz="0" w:space="0" w:color="auto"/>
                <w:right w:val="none" w:sz="0" w:space="0" w:color="auto"/>
              </w:divBdr>
              <w:divsChild>
                <w:div w:id="1309826376">
                  <w:marLeft w:val="0"/>
                  <w:marRight w:val="0"/>
                  <w:marTop w:val="0"/>
                  <w:marBottom w:val="0"/>
                  <w:divBdr>
                    <w:top w:val="none" w:sz="0" w:space="0" w:color="auto"/>
                    <w:left w:val="none" w:sz="0" w:space="0" w:color="auto"/>
                    <w:bottom w:val="none" w:sz="0" w:space="0" w:color="auto"/>
                    <w:right w:val="none" w:sz="0" w:space="0" w:color="auto"/>
                  </w:divBdr>
                </w:div>
                <w:div w:id="1508329936">
                  <w:marLeft w:val="0"/>
                  <w:marRight w:val="0"/>
                  <w:marTop w:val="0"/>
                  <w:marBottom w:val="0"/>
                  <w:divBdr>
                    <w:top w:val="none" w:sz="0" w:space="0" w:color="auto"/>
                    <w:left w:val="none" w:sz="0" w:space="0" w:color="auto"/>
                    <w:bottom w:val="none" w:sz="0" w:space="0" w:color="auto"/>
                    <w:right w:val="none" w:sz="0" w:space="0" w:color="auto"/>
                  </w:divBdr>
                </w:div>
              </w:divsChild>
            </w:div>
            <w:div w:id="1730495922">
              <w:marLeft w:val="0"/>
              <w:marRight w:val="0"/>
              <w:marTop w:val="0"/>
              <w:marBottom w:val="0"/>
              <w:divBdr>
                <w:top w:val="none" w:sz="0" w:space="0" w:color="auto"/>
                <w:left w:val="none" w:sz="0" w:space="0" w:color="auto"/>
                <w:bottom w:val="none" w:sz="0" w:space="0" w:color="auto"/>
                <w:right w:val="none" w:sz="0" w:space="0" w:color="auto"/>
              </w:divBdr>
              <w:divsChild>
                <w:div w:id="1827283283">
                  <w:marLeft w:val="0"/>
                  <w:marRight w:val="0"/>
                  <w:marTop w:val="0"/>
                  <w:marBottom w:val="0"/>
                  <w:divBdr>
                    <w:top w:val="none" w:sz="0" w:space="0" w:color="auto"/>
                    <w:left w:val="none" w:sz="0" w:space="0" w:color="auto"/>
                    <w:bottom w:val="none" w:sz="0" w:space="0" w:color="auto"/>
                    <w:right w:val="none" w:sz="0" w:space="0" w:color="auto"/>
                  </w:divBdr>
                </w:div>
                <w:div w:id="20057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3233">
      <w:bodyDiv w:val="1"/>
      <w:marLeft w:val="0"/>
      <w:marRight w:val="0"/>
      <w:marTop w:val="0"/>
      <w:marBottom w:val="0"/>
      <w:divBdr>
        <w:top w:val="none" w:sz="0" w:space="0" w:color="auto"/>
        <w:left w:val="none" w:sz="0" w:space="0" w:color="auto"/>
        <w:bottom w:val="none" w:sz="0" w:space="0" w:color="auto"/>
        <w:right w:val="none" w:sz="0" w:space="0" w:color="auto"/>
      </w:divBdr>
    </w:div>
    <w:div w:id="769542323">
      <w:bodyDiv w:val="1"/>
      <w:marLeft w:val="0"/>
      <w:marRight w:val="0"/>
      <w:marTop w:val="0"/>
      <w:marBottom w:val="0"/>
      <w:divBdr>
        <w:top w:val="none" w:sz="0" w:space="0" w:color="auto"/>
        <w:left w:val="none" w:sz="0" w:space="0" w:color="auto"/>
        <w:bottom w:val="none" w:sz="0" w:space="0" w:color="auto"/>
        <w:right w:val="none" w:sz="0" w:space="0" w:color="auto"/>
      </w:divBdr>
    </w:div>
    <w:div w:id="1439907478">
      <w:bodyDiv w:val="1"/>
      <w:marLeft w:val="0"/>
      <w:marRight w:val="0"/>
      <w:marTop w:val="0"/>
      <w:marBottom w:val="0"/>
      <w:divBdr>
        <w:top w:val="none" w:sz="0" w:space="0" w:color="auto"/>
        <w:left w:val="none" w:sz="0" w:space="0" w:color="auto"/>
        <w:bottom w:val="none" w:sz="0" w:space="0" w:color="auto"/>
        <w:right w:val="none" w:sz="0" w:space="0" w:color="auto"/>
      </w:divBdr>
    </w:div>
    <w:div w:id="1496805132">
      <w:bodyDiv w:val="1"/>
      <w:marLeft w:val="0"/>
      <w:marRight w:val="0"/>
      <w:marTop w:val="0"/>
      <w:marBottom w:val="0"/>
      <w:divBdr>
        <w:top w:val="none" w:sz="0" w:space="0" w:color="auto"/>
        <w:left w:val="none" w:sz="0" w:space="0" w:color="auto"/>
        <w:bottom w:val="none" w:sz="0" w:space="0" w:color="auto"/>
        <w:right w:val="none" w:sz="0" w:space="0" w:color="auto"/>
      </w:divBdr>
    </w:div>
    <w:div w:id="1645235233">
      <w:bodyDiv w:val="1"/>
      <w:marLeft w:val="0"/>
      <w:marRight w:val="0"/>
      <w:marTop w:val="0"/>
      <w:marBottom w:val="0"/>
      <w:divBdr>
        <w:top w:val="none" w:sz="0" w:space="0" w:color="auto"/>
        <w:left w:val="none" w:sz="0" w:space="0" w:color="auto"/>
        <w:bottom w:val="none" w:sz="0" w:space="0" w:color="auto"/>
        <w:right w:val="none" w:sz="0" w:space="0" w:color="auto"/>
      </w:divBdr>
    </w:div>
    <w:div w:id="1978991399">
      <w:bodyDiv w:val="1"/>
      <w:marLeft w:val="0"/>
      <w:marRight w:val="0"/>
      <w:marTop w:val="0"/>
      <w:marBottom w:val="0"/>
      <w:divBdr>
        <w:top w:val="none" w:sz="0" w:space="0" w:color="auto"/>
        <w:left w:val="none" w:sz="0" w:space="0" w:color="auto"/>
        <w:bottom w:val="none" w:sz="0" w:space="0" w:color="auto"/>
        <w:right w:val="none" w:sz="0" w:space="0" w:color="auto"/>
      </w:divBdr>
    </w:div>
    <w:div w:id="1984651589">
      <w:bodyDiv w:val="1"/>
      <w:marLeft w:val="0"/>
      <w:marRight w:val="0"/>
      <w:marTop w:val="0"/>
      <w:marBottom w:val="0"/>
      <w:divBdr>
        <w:top w:val="none" w:sz="0" w:space="0" w:color="auto"/>
        <w:left w:val="none" w:sz="0" w:space="0" w:color="auto"/>
        <w:bottom w:val="none" w:sz="0" w:space="0" w:color="auto"/>
        <w:right w:val="none" w:sz="0" w:space="0" w:color="auto"/>
      </w:divBdr>
      <w:divsChild>
        <w:div w:id="361127940">
          <w:marLeft w:val="0"/>
          <w:marRight w:val="0"/>
          <w:marTop w:val="0"/>
          <w:marBottom w:val="0"/>
          <w:divBdr>
            <w:top w:val="none" w:sz="0" w:space="0" w:color="auto"/>
            <w:left w:val="none" w:sz="0" w:space="0" w:color="auto"/>
            <w:bottom w:val="none" w:sz="0" w:space="0" w:color="auto"/>
            <w:right w:val="none" w:sz="0" w:space="0" w:color="auto"/>
          </w:divBdr>
        </w:div>
        <w:div w:id="405807731">
          <w:marLeft w:val="0"/>
          <w:marRight w:val="0"/>
          <w:marTop w:val="0"/>
          <w:marBottom w:val="0"/>
          <w:divBdr>
            <w:top w:val="none" w:sz="0" w:space="0" w:color="auto"/>
            <w:left w:val="none" w:sz="0" w:space="0" w:color="auto"/>
            <w:bottom w:val="none" w:sz="0" w:space="0" w:color="auto"/>
            <w:right w:val="none" w:sz="0" w:space="0" w:color="auto"/>
          </w:divBdr>
        </w:div>
        <w:div w:id="451634336">
          <w:marLeft w:val="0"/>
          <w:marRight w:val="0"/>
          <w:marTop w:val="0"/>
          <w:marBottom w:val="0"/>
          <w:divBdr>
            <w:top w:val="none" w:sz="0" w:space="0" w:color="auto"/>
            <w:left w:val="none" w:sz="0" w:space="0" w:color="auto"/>
            <w:bottom w:val="none" w:sz="0" w:space="0" w:color="auto"/>
            <w:right w:val="none" w:sz="0" w:space="0" w:color="auto"/>
          </w:divBdr>
        </w:div>
        <w:div w:id="539560914">
          <w:marLeft w:val="0"/>
          <w:marRight w:val="0"/>
          <w:marTop w:val="0"/>
          <w:marBottom w:val="0"/>
          <w:divBdr>
            <w:top w:val="none" w:sz="0" w:space="0" w:color="auto"/>
            <w:left w:val="none" w:sz="0" w:space="0" w:color="auto"/>
            <w:bottom w:val="none" w:sz="0" w:space="0" w:color="auto"/>
            <w:right w:val="none" w:sz="0" w:space="0" w:color="auto"/>
          </w:divBdr>
        </w:div>
        <w:div w:id="721291180">
          <w:marLeft w:val="0"/>
          <w:marRight w:val="0"/>
          <w:marTop w:val="0"/>
          <w:marBottom w:val="0"/>
          <w:divBdr>
            <w:top w:val="none" w:sz="0" w:space="0" w:color="auto"/>
            <w:left w:val="none" w:sz="0" w:space="0" w:color="auto"/>
            <w:bottom w:val="none" w:sz="0" w:space="0" w:color="auto"/>
            <w:right w:val="none" w:sz="0" w:space="0" w:color="auto"/>
          </w:divBdr>
        </w:div>
        <w:div w:id="878858975">
          <w:marLeft w:val="0"/>
          <w:marRight w:val="0"/>
          <w:marTop w:val="0"/>
          <w:marBottom w:val="0"/>
          <w:divBdr>
            <w:top w:val="none" w:sz="0" w:space="0" w:color="auto"/>
            <w:left w:val="none" w:sz="0" w:space="0" w:color="auto"/>
            <w:bottom w:val="none" w:sz="0" w:space="0" w:color="auto"/>
            <w:right w:val="none" w:sz="0" w:space="0" w:color="auto"/>
          </w:divBdr>
        </w:div>
        <w:div w:id="1521045187">
          <w:marLeft w:val="0"/>
          <w:marRight w:val="0"/>
          <w:marTop w:val="0"/>
          <w:marBottom w:val="0"/>
          <w:divBdr>
            <w:top w:val="none" w:sz="0" w:space="0" w:color="auto"/>
            <w:left w:val="none" w:sz="0" w:space="0" w:color="auto"/>
            <w:bottom w:val="none" w:sz="0" w:space="0" w:color="auto"/>
            <w:right w:val="none" w:sz="0" w:space="0" w:color="auto"/>
          </w:divBdr>
        </w:div>
        <w:div w:id="1545293035">
          <w:marLeft w:val="0"/>
          <w:marRight w:val="0"/>
          <w:marTop w:val="0"/>
          <w:marBottom w:val="0"/>
          <w:divBdr>
            <w:top w:val="none" w:sz="0" w:space="0" w:color="auto"/>
            <w:left w:val="none" w:sz="0" w:space="0" w:color="auto"/>
            <w:bottom w:val="none" w:sz="0" w:space="0" w:color="auto"/>
            <w:right w:val="none" w:sz="0" w:space="0" w:color="auto"/>
          </w:divBdr>
        </w:div>
        <w:div w:id="1778518577">
          <w:marLeft w:val="0"/>
          <w:marRight w:val="0"/>
          <w:marTop w:val="0"/>
          <w:marBottom w:val="0"/>
          <w:divBdr>
            <w:top w:val="none" w:sz="0" w:space="0" w:color="auto"/>
            <w:left w:val="none" w:sz="0" w:space="0" w:color="auto"/>
            <w:bottom w:val="none" w:sz="0" w:space="0" w:color="auto"/>
            <w:right w:val="none" w:sz="0" w:space="0" w:color="auto"/>
          </w:divBdr>
        </w:div>
        <w:div w:id="195679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9/0055/latest/whole.html" TargetMode="External"/><Relationship Id="rId13" Type="http://schemas.openxmlformats.org/officeDocument/2006/relationships/hyperlink" Target="https://www.police.govt.nz/sites/default/files/publications/review-of-firearms-control-in-new-zealand.pdf" TargetMode="External"/><Relationship Id="rId18" Type="http://schemas.openxmlformats.org/officeDocument/2006/relationships/hyperlink" Target="https://www.police.govt.nz/sites/default/files/publications/26-sep-2018-ir-01-18-1238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lice.govt.nz/sites/default/files/publications/the-arms-code-2013.pdf" TargetMode="External"/><Relationship Id="rId17" Type="http://schemas.openxmlformats.org/officeDocument/2006/relationships/hyperlink" Target="https://www.police.govt.nz/sites/default/files/publications/16-7782-118.pdf" TargetMode="External"/><Relationship Id="rId2" Type="http://schemas.openxmlformats.org/officeDocument/2006/relationships/numbering" Target="numbering.xml"/><Relationship Id="rId16" Type="http://schemas.openxmlformats.org/officeDocument/2006/relationships/hyperlink" Target="file:///C:\Users\marusse\Downloads\www.police.govt.nz\sites\default\files\publications\14-sep-2018-ir-01-18-111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1992/0095/latest/DLM278351.html" TargetMode="External"/><Relationship Id="rId5" Type="http://schemas.openxmlformats.org/officeDocument/2006/relationships/webSettings" Target="webSettings.xml"/><Relationship Id="rId15" Type="http://schemas.openxmlformats.org/officeDocument/2006/relationships/hyperlink" Target="https://www.police.govt.nz/sites/default/files/publications/25-nov-2018-ir-01-18-17024.pdf" TargetMode="External"/><Relationship Id="rId10" Type="http://schemas.openxmlformats.org/officeDocument/2006/relationships/hyperlink" Target="http://www.legislation.govt.nz/act/public/1983/0044/latest/whol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nz/en/pb/bills-and-laws/bills-proposed-laws/document/BILL_86423/arms-prohibited-firearms-magazines-and-parts-amendment" TargetMode="External"/><Relationship Id="rId14" Type="http://schemas.openxmlformats.org/officeDocument/2006/relationships/hyperlink" Target="https://www.parliament.nz/resource/en-NZ/SCR_72851/f06602dd80c8bcc69220182d246269b242751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0EA5EA-ED75-D043-A206-D7BBAD48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Russell</dc:creator>
  <cp:keywords/>
  <dc:description/>
  <cp:lastModifiedBy>Microsoft Office User</cp:lastModifiedBy>
  <cp:revision>2</cp:revision>
  <cp:lastPrinted>2019-04-02T00:24:00Z</cp:lastPrinted>
  <dcterms:created xsi:type="dcterms:W3CDTF">2019-04-03T00:42:00Z</dcterms:created>
  <dcterms:modified xsi:type="dcterms:W3CDTF">2019-04-03T00:42:00Z</dcterms:modified>
</cp:coreProperties>
</file>