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AE2" w:rsidRDefault="00163496" w:rsidP="009B06E8">
      <w:pPr>
        <w:jc w:val="both"/>
        <w:rPr>
          <w:b/>
          <w:sz w:val="28"/>
          <w:szCs w:val="28"/>
        </w:rPr>
      </w:pPr>
      <w:r>
        <w:rPr>
          <w:b/>
          <w:noProof/>
          <w:sz w:val="28"/>
          <w:szCs w:val="28"/>
          <w:lang w:eastAsia="en-NZ"/>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-1184910</wp:posOffset>
                </wp:positionV>
                <wp:extent cx="4467225" cy="800100"/>
                <wp:effectExtent l="0" t="0" r="0"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5A4F" w:rsidRPr="009B4359" w:rsidRDefault="009B4359" w:rsidP="00DB5A4F">
                            <w:pPr>
                              <w:rPr>
                                <w:b/>
                                <w:color w:val="FFFFFF"/>
                                <w:sz w:val="36"/>
                                <w:szCs w:val="38"/>
                              </w:rPr>
                            </w:pPr>
                            <w:r w:rsidRPr="009B4359">
                              <w:rPr>
                                <w:b/>
                                <w:color w:val="FFFFFF"/>
                                <w:sz w:val="36"/>
                                <w:szCs w:val="38"/>
                              </w:rPr>
                              <w:t xml:space="preserve">Administrative </w:t>
                            </w:r>
                            <w:r w:rsidR="00DB5A4F" w:rsidRPr="009B4359">
                              <w:rPr>
                                <w:b/>
                                <w:color w:val="FFFFFF"/>
                                <w:sz w:val="36"/>
                                <w:szCs w:val="38"/>
                              </w:rPr>
                              <w:t>Review</w:t>
                            </w:r>
                            <w:r w:rsidRPr="009B4359">
                              <w:rPr>
                                <w:b/>
                                <w:color w:val="FFFFFF"/>
                                <w:sz w:val="36"/>
                                <w:szCs w:val="38"/>
                              </w:rPr>
                              <w:t>s</w:t>
                            </w:r>
                            <w:r w:rsidR="00DB5A4F" w:rsidRPr="009B4359">
                              <w:rPr>
                                <w:b/>
                                <w:color w:val="FFFFFF"/>
                                <w:sz w:val="36"/>
                                <w:szCs w:val="38"/>
                              </w:rPr>
                              <w:t xml:space="preserve"> of Student Services </w:t>
                            </w:r>
                          </w:p>
                          <w:p w:rsidR="00DB5A4F" w:rsidRPr="00B07463" w:rsidRDefault="00DB5A4F" w:rsidP="00DB5A4F">
                            <w:pPr>
                              <w:rPr>
                                <w:color w:val="FFFFFF"/>
                                <w:sz w:val="30"/>
                                <w:szCs w:val="30"/>
                              </w:rPr>
                            </w:pPr>
                            <w:r w:rsidRPr="00B07463">
                              <w:rPr>
                                <w:color w:val="FFFFFF"/>
                                <w:sz w:val="30"/>
                                <w:szCs w:val="30"/>
                              </w:rPr>
                              <w:t>Framework and Terms of Reference</w:t>
                            </w:r>
                          </w:p>
                          <w:p w:rsidR="00DB5A4F" w:rsidRPr="008A438B" w:rsidRDefault="00DB5A4F" w:rsidP="00DB5A4F">
                            <w:pPr>
                              <w:jc w:val="both"/>
                              <w:rPr>
                                <w:i/>
                                <w:color w:val="FFFFFF"/>
                                <w:sz w:val="22"/>
                                <w:u w:val="single"/>
                              </w:rPr>
                            </w:pPr>
                            <w:r w:rsidRPr="008A438B">
                              <w:rPr>
                                <w:i/>
                                <w:color w:val="FFFFFF"/>
                                <w:sz w:val="22"/>
                              </w:rPr>
                              <w:t>(</w:t>
                            </w:r>
                            <w:r w:rsidR="00163496">
                              <w:rPr>
                                <w:i/>
                                <w:color w:val="FFFFFF"/>
                                <w:sz w:val="22"/>
                              </w:rPr>
                              <w:t xml:space="preserve">Amended </w:t>
                            </w:r>
                            <w:r w:rsidR="00F97B1F">
                              <w:rPr>
                                <w:i/>
                                <w:color w:val="FFFFFF"/>
                                <w:sz w:val="22"/>
                              </w:rPr>
                              <w:t>Jan 2014</w:t>
                            </w:r>
                            <w:bookmarkStart w:id="0" w:name="_GoBack"/>
                            <w:bookmarkEnd w:id="0"/>
                            <w:r w:rsidRPr="008A438B">
                              <w:rPr>
                                <w:i/>
                                <w:color w:val="FFFFFF"/>
                                <w:sz w:val="22"/>
                              </w:rPr>
                              <w:t>)</w:t>
                            </w:r>
                          </w:p>
                          <w:p w:rsidR="009A5AE2" w:rsidRDefault="009A5A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93.3pt;width:351.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AKt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" filled="f" stroked="f">
                <v:textbox>
                  <w:txbxContent>
                    <w:p w:rsidR="00DB5A4F" w:rsidRPr="009B4359" w:rsidRDefault="009B4359" w:rsidP="00DB5A4F">
                      <w:pPr>
                        <w:rPr>
                          <w:b/>
                          <w:color w:val="FFFFFF"/>
                          <w:sz w:val="36"/>
                          <w:szCs w:val="38"/>
                        </w:rPr>
                      </w:pPr>
                      <w:r w:rsidRPr="009B4359">
                        <w:rPr>
                          <w:b/>
                          <w:color w:val="FFFFFF"/>
                          <w:sz w:val="36"/>
                          <w:szCs w:val="38"/>
                        </w:rPr>
                        <w:t xml:space="preserve">Administrative </w:t>
                      </w:r>
                      <w:r w:rsidR="00DB5A4F" w:rsidRPr="009B4359">
                        <w:rPr>
                          <w:b/>
                          <w:color w:val="FFFFFF"/>
                          <w:sz w:val="36"/>
                          <w:szCs w:val="38"/>
                        </w:rPr>
                        <w:t>Review</w:t>
                      </w:r>
                      <w:r w:rsidRPr="009B4359">
                        <w:rPr>
                          <w:b/>
                          <w:color w:val="FFFFFF"/>
                          <w:sz w:val="36"/>
                          <w:szCs w:val="38"/>
                        </w:rPr>
                        <w:t>s</w:t>
                      </w:r>
                      <w:r w:rsidR="00DB5A4F" w:rsidRPr="009B4359">
                        <w:rPr>
                          <w:b/>
                          <w:color w:val="FFFFFF"/>
                          <w:sz w:val="36"/>
                          <w:szCs w:val="38"/>
                        </w:rPr>
                        <w:t xml:space="preserve"> of Student Services </w:t>
                      </w:r>
                    </w:p>
                    <w:p w:rsidR="00DB5A4F" w:rsidRPr="00B07463" w:rsidRDefault="00DB5A4F" w:rsidP="00DB5A4F">
                      <w:pPr>
                        <w:rPr>
                          <w:color w:val="FFFFFF"/>
                          <w:sz w:val="30"/>
                          <w:szCs w:val="30"/>
                        </w:rPr>
                      </w:pPr>
                      <w:r w:rsidRPr="00B07463">
                        <w:rPr>
                          <w:color w:val="FFFFFF"/>
                          <w:sz w:val="30"/>
                          <w:szCs w:val="30"/>
                        </w:rPr>
                        <w:t>Framework and Terms of Reference</w:t>
                      </w:r>
                    </w:p>
                    <w:p w:rsidR="00DB5A4F" w:rsidRPr="008A438B" w:rsidRDefault="00DB5A4F" w:rsidP="00DB5A4F">
                      <w:pPr>
                        <w:jc w:val="both"/>
                        <w:rPr>
                          <w:i/>
                          <w:color w:val="FFFFFF"/>
                          <w:sz w:val="22"/>
                          <w:u w:val="single"/>
                        </w:rPr>
                      </w:pPr>
                      <w:r w:rsidRPr="008A438B">
                        <w:rPr>
                          <w:i/>
                          <w:color w:val="FFFFFF"/>
                          <w:sz w:val="22"/>
                        </w:rPr>
                        <w:t>(</w:t>
                      </w:r>
                      <w:r w:rsidR="00163496">
                        <w:rPr>
                          <w:i/>
                          <w:color w:val="FFFFFF"/>
                          <w:sz w:val="22"/>
                        </w:rPr>
                        <w:t xml:space="preserve">Amended </w:t>
                      </w:r>
                      <w:r w:rsidR="00F97B1F">
                        <w:rPr>
                          <w:i/>
                          <w:color w:val="FFFFFF"/>
                          <w:sz w:val="22"/>
                        </w:rPr>
                        <w:t>Jan 2014</w:t>
                      </w:r>
                      <w:bookmarkStart w:id="1" w:name="_GoBack"/>
                      <w:bookmarkEnd w:id="1"/>
                      <w:r w:rsidRPr="008A438B">
                        <w:rPr>
                          <w:i/>
                          <w:color w:val="FFFFFF"/>
                          <w:sz w:val="22"/>
                        </w:rPr>
                        <w:t>)</w:t>
                      </w:r>
                    </w:p>
                    <w:p w:rsidR="009A5AE2" w:rsidRDefault="009A5AE2"/>
                  </w:txbxContent>
                </v:textbox>
              </v:shape>
            </w:pict>
          </mc:Fallback>
        </mc:AlternateContent>
      </w:r>
      <w:r w:rsidR="00A654E7">
        <w:rPr>
          <w:b/>
          <w:noProof/>
          <w:sz w:val="28"/>
          <w:szCs w:val="28"/>
          <w:lang w:eastAsia="en-NZ"/>
        </w:rPr>
        <w:drawing>
          <wp:anchor distT="0" distB="0" distL="114300" distR="114300" simplePos="0" relativeHeight="251657216" behindDoc="1" locked="0" layoutInCell="1" allowOverlap="1">
            <wp:simplePos x="0" y="0"/>
            <wp:positionH relativeFrom="column">
              <wp:posOffset>-342900</wp:posOffset>
            </wp:positionH>
            <wp:positionV relativeFrom="paragraph">
              <wp:posOffset>-800100</wp:posOffset>
            </wp:positionV>
            <wp:extent cx="6372225" cy="1285875"/>
            <wp:effectExtent l="19050" t="0" r="9525" b="0"/>
            <wp:wrapTight wrapText="bothSides">
              <wp:wrapPolygon edited="0">
                <wp:start x="-65" y="0"/>
                <wp:lineTo x="-65" y="21440"/>
                <wp:lineTo x="21632" y="21440"/>
                <wp:lineTo x="21632" y="0"/>
                <wp:lineTo x="-65" y="0"/>
              </wp:wrapPolygon>
            </wp:wrapTight>
            <wp:docPr id="2" name="Picture 2" descr="qabandba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abandbase (2)"/>
                    <pic:cNvPicPr>
                      <a:picLocks noChangeAspect="1" noChangeArrowheads="1"/>
                    </pic:cNvPicPr>
                  </pic:nvPicPr>
                  <pic:blipFill>
                    <a:blip r:embed="rId8" cstate="print"/>
                    <a:srcRect/>
                    <a:stretch>
                      <a:fillRect/>
                    </a:stretch>
                  </pic:blipFill>
                  <pic:spPr bwMode="auto">
                    <a:xfrm>
                      <a:off x="0" y="0"/>
                      <a:ext cx="6372225" cy="1285875"/>
                    </a:xfrm>
                    <a:prstGeom prst="rect">
                      <a:avLst/>
                    </a:prstGeom>
                    <a:noFill/>
                    <a:ln w="9525">
                      <a:noFill/>
                      <a:miter lim="800000"/>
                      <a:headEnd/>
                      <a:tailEnd/>
                    </a:ln>
                  </pic:spPr>
                </pic:pic>
              </a:graphicData>
            </a:graphic>
          </wp:anchor>
        </w:drawing>
      </w:r>
    </w:p>
    <w:p w:rsidR="009A5AE2" w:rsidRPr="00163496" w:rsidRDefault="009A5AE2" w:rsidP="009A5AE2">
      <w:pPr>
        <w:pBdr>
          <w:bottom w:val="single" w:sz="6" w:space="1" w:color="CCCCCC"/>
        </w:pBdr>
        <w:shd w:val="clear" w:color="auto" w:fill="99CCFF"/>
        <w:spacing w:before="480" w:after="288"/>
        <w:outlineLvl w:val="2"/>
        <w:rPr>
          <w:rFonts w:asciiTheme="minorHAnsi" w:hAnsiTheme="minorHAnsi" w:cstheme="minorHAnsi"/>
          <w:b/>
          <w:color w:val="333333"/>
          <w:spacing w:val="24"/>
          <w:sz w:val="22"/>
          <w:szCs w:val="22"/>
        </w:rPr>
      </w:pPr>
      <w:r w:rsidRPr="00163496">
        <w:rPr>
          <w:rFonts w:asciiTheme="minorHAnsi" w:hAnsiTheme="minorHAnsi" w:cstheme="minorHAnsi"/>
          <w:b/>
          <w:color w:val="333333"/>
          <w:spacing w:val="24"/>
          <w:sz w:val="22"/>
          <w:szCs w:val="22"/>
        </w:rPr>
        <w:t>Framework</w:t>
      </w:r>
    </w:p>
    <w:p w:rsidR="00DB5A4F" w:rsidRPr="00163496" w:rsidRDefault="00DB5A4F" w:rsidP="00DB5A4F">
      <w:pPr>
        <w:jc w:val="both"/>
        <w:rPr>
          <w:rFonts w:asciiTheme="minorHAnsi" w:hAnsiTheme="minorHAnsi" w:cstheme="minorHAnsi"/>
          <w:sz w:val="22"/>
          <w:szCs w:val="22"/>
        </w:rPr>
      </w:pPr>
      <w:r w:rsidRPr="00163496">
        <w:rPr>
          <w:rFonts w:asciiTheme="minorHAnsi" w:hAnsiTheme="minorHAnsi" w:cstheme="minorHAnsi"/>
          <w:sz w:val="22"/>
          <w:szCs w:val="22"/>
        </w:rPr>
        <w:t>Administrative Units are encouraged to see a review as an opportunity to critically analyse their goals and objectives and to receive affirmation that their plans will have long term benefits to their staff, the students and the wider University community.  The key part of the review is the Unit’s self review in which the following questions need to be addressed in light of terms of reference below:</w:t>
      </w:r>
    </w:p>
    <w:p w:rsidR="00DB5A4F" w:rsidRPr="00163496" w:rsidRDefault="00DB5A4F" w:rsidP="00DB5A4F">
      <w:pPr>
        <w:numPr>
          <w:ilvl w:val="0"/>
          <w:numId w:val="9"/>
        </w:numPr>
        <w:jc w:val="both"/>
        <w:rPr>
          <w:rFonts w:asciiTheme="minorHAnsi" w:hAnsiTheme="minorHAnsi" w:cstheme="minorHAnsi"/>
          <w:sz w:val="22"/>
          <w:szCs w:val="22"/>
        </w:rPr>
      </w:pPr>
      <w:r w:rsidRPr="00163496">
        <w:rPr>
          <w:rFonts w:asciiTheme="minorHAnsi" w:hAnsiTheme="minorHAnsi" w:cstheme="minorHAnsi"/>
          <w:sz w:val="22"/>
          <w:szCs w:val="22"/>
        </w:rPr>
        <w:t>What is the current situation of the Unit?</w:t>
      </w:r>
    </w:p>
    <w:p w:rsidR="00DB5A4F" w:rsidRPr="00163496" w:rsidRDefault="00DB5A4F" w:rsidP="00DB5A4F">
      <w:pPr>
        <w:numPr>
          <w:ilvl w:val="0"/>
          <w:numId w:val="9"/>
        </w:numPr>
        <w:jc w:val="both"/>
        <w:rPr>
          <w:rFonts w:asciiTheme="minorHAnsi" w:hAnsiTheme="minorHAnsi" w:cstheme="minorHAnsi"/>
          <w:sz w:val="22"/>
          <w:szCs w:val="22"/>
        </w:rPr>
      </w:pPr>
      <w:r w:rsidRPr="00163496">
        <w:rPr>
          <w:rFonts w:asciiTheme="minorHAnsi" w:hAnsiTheme="minorHAnsi" w:cstheme="minorHAnsi"/>
          <w:sz w:val="22"/>
          <w:szCs w:val="22"/>
        </w:rPr>
        <w:t>Where does the Unit want to be in 5 years’ time?</w:t>
      </w:r>
    </w:p>
    <w:p w:rsidR="00DB5A4F" w:rsidRPr="00163496" w:rsidRDefault="00DB5A4F" w:rsidP="00DB5A4F">
      <w:pPr>
        <w:numPr>
          <w:ilvl w:val="0"/>
          <w:numId w:val="9"/>
        </w:numPr>
        <w:jc w:val="both"/>
        <w:rPr>
          <w:rFonts w:asciiTheme="minorHAnsi" w:hAnsiTheme="minorHAnsi" w:cstheme="minorHAnsi"/>
          <w:sz w:val="22"/>
          <w:szCs w:val="22"/>
        </w:rPr>
      </w:pPr>
      <w:r w:rsidRPr="00163496">
        <w:rPr>
          <w:rFonts w:asciiTheme="minorHAnsi" w:hAnsiTheme="minorHAnsi" w:cstheme="minorHAnsi"/>
          <w:sz w:val="22"/>
          <w:szCs w:val="22"/>
        </w:rPr>
        <w:t>What does the Unit need to do to get there?</w:t>
      </w:r>
    </w:p>
    <w:p w:rsidR="00DB5A4F" w:rsidRPr="00163496" w:rsidRDefault="00DB5A4F" w:rsidP="00DB5A4F">
      <w:pPr>
        <w:numPr>
          <w:ilvl w:val="0"/>
          <w:numId w:val="9"/>
        </w:numPr>
        <w:jc w:val="both"/>
        <w:rPr>
          <w:rFonts w:asciiTheme="minorHAnsi" w:hAnsiTheme="minorHAnsi" w:cstheme="minorHAnsi"/>
          <w:sz w:val="22"/>
          <w:szCs w:val="22"/>
        </w:rPr>
      </w:pPr>
      <w:r w:rsidRPr="00163496">
        <w:rPr>
          <w:rFonts w:asciiTheme="minorHAnsi" w:hAnsiTheme="minorHAnsi" w:cstheme="minorHAnsi"/>
          <w:sz w:val="22"/>
          <w:szCs w:val="22"/>
        </w:rPr>
        <w:t>What can the University do to support the Unit to achieve this goal?</w:t>
      </w:r>
    </w:p>
    <w:p w:rsidR="00DB5A4F" w:rsidRPr="00163496" w:rsidRDefault="00DB5A4F" w:rsidP="00DB5A4F">
      <w:pPr>
        <w:numPr>
          <w:ilvl w:val="0"/>
          <w:numId w:val="9"/>
        </w:numPr>
        <w:jc w:val="both"/>
        <w:rPr>
          <w:rFonts w:asciiTheme="minorHAnsi" w:hAnsiTheme="minorHAnsi" w:cstheme="minorHAnsi"/>
          <w:sz w:val="22"/>
          <w:szCs w:val="22"/>
        </w:rPr>
      </w:pPr>
      <w:r w:rsidRPr="00163496">
        <w:rPr>
          <w:rFonts w:asciiTheme="minorHAnsi" w:hAnsiTheme="minorHAnsi" w:cstheme="minorHAnsi"/>
          <w:sz w:val="22"/>
          <w:szCs w:val="22"/>
        </w:rPr>
        <w:t>What does the Unit do well and what could it do better?</w:t>
      </w:r>
    </w:p>
    <w:p w:rsidR="00DB5A4F" w:rsidRPr="00163496" w:rsidRDefault="00DB5A4F" w:rsidP="00DB5A4F">
      <w:pPr>
        <w:jc w:val="both"/>
        <w:rPr>
          <w:rFonts w:asciiTheme="minorHAnsi" w:hAnsiTheme="minorHAnsi" w:cstheme="minorHAnsi"/>
          <w:sz w:val="22"/>
          <w:szCs w:val="22"/>
        </w:rPr>
      </w:pPr>
    </w:p>
    <w:p w:rsidR="00DB5A4F" w:rsidRPr="00163496" w:rsidRDefault="00DB5A4F" w:rsidP="00DB5A4F">
      <w:pPr>
        <w:jc w:val="both"/>
        <w:rPr>
          <w:rFonts w:asciiTheme="minorHAnsi" w:hAnsiTheme="minorHAnsi" w:cstheme="minorHAnsi"/>
          <w:sz w:val="22"/>
          <w:szCs w:val="22"/>
        </w:rPr>
      </w:pPr>
      <w:r w:rsidRPr="00163496">
        <w:rPr>
          <w:rFonts w:asciiTheme="minorHAnsi" w:hAnsiTheme="minorHAnsi" w:cstheme="minorHAnsi"/>
          <w:sz w:val="22"/>
          <w:szCs w:val="22"/>
        </w:rPr>
        <w:t>The purpose is to review and evaluate the Unit with reference to:</w:t>
      </w:r>
    </w:p>
    <w:p w:rsidR="00DB5A4F" w:rsidRPr="00163496" w:rsidRDefault="00DB5A4F" w:rsidP="00DB5A4F">
      <w:pPr>
        <w:numPr>
          <w:ilvl w:val="0"/>
          <w:numId w:val="10"/>
        </w:numPr>
        <w:jc w:val="both"/>
        <w:rPr>
          <w:rFonts w:asciiTheme="minorHAnsi" w:hAnsiTheme="minorHAnsi" w:cstheme="minorHAnsi"/>
          <w:sz w:val="22"/>
          <w:szCs w:val="22"/>
        </w:rPr>
      </w:pPr>
      <w:r w:rsidRPr="00163496">
        <w:rPr>
          <w:rFonts w:asciiTheme="minorHAnsi" w:hAnsiTheme="minorHAnsi" w:cstheme="minorHAnsi"/>
          <w:sz w:val="22"/>
          <w:szCs w:val="22"/>
        </w:rPr>
        <w:t>its core activities as appropriate (to be determined for each individual unit)</w:t>
      </w:r>
    </w:p>
    <w:p w:rsidR="00DB5A4F" w:rsidRPr="00163496" w:rsidRDefault="00DB5A4F" w:rsidP="00DB5A4F">
      <w:pPr>
        <w:numPr>
          <w:ilvl w:val="0"/>
          <w:numId w:val="10"/>
        </w:numPr>
        <w:jc w:val="both"/>
        <w:rPr>
          <w:rFonts w:asciiTheme="minorHAnsi" w:hAnsiTheme="minorHAnsi" w:cstheme="minorHAnsi"/>
          <w:sz w:val="22"/>
          <w:szCs w:val="22"/>
        </w:rPr>
      </w:pPr>
      <w:r w:rsidRPr="00163496">
        <w:rPr>
          <w:rFonts w:asciiTheme="minorHAnsi" w:hAnsiTheme="minorHAnsi" w:cstheme="minorHAnsi"/>
          <w:sz w:val="22"/>
          <w:szCs w:val="22"/>
        </w:rPr>
        <w:t xml:space="preserve">the Unit’s administration, operational processes, </w:t>
      </w:r>
      <w:r w:rsidR="00163496" w:rsidRPr="00163496">
        <w:rPr>
          <w:rFonts w:asciiTheme="minorHAnsi" w:hAnsiTheme="minorHAnsi" w:cstheme="minorHAnsi"/>
          <w:sz w:val="22"/>
          <w:szCs w:val="22"/>
        </w:rPr>
        <w:t xml:space="preserve">equity, </w:t>
      </w:r>
      <w:r w:rsidRPr="00163496">
        <w:rPr>
          <w:rFonts w:asciiTheme="minorHAnsi" w:hAnsiTheme="minorHAnsi" w:cstheme="minorHAnsi"/>
          <w:sz w:val="22"/>
          <w:szCs w:val="22"/>
        </w:rPr>
        <w:t>support structures for staff and students, including adequate space, facilities and resources both within the Unit and the Student Services Division and through other central areas of the University;</w:t>
      </w:r>
    </w:p>
    <w:p w:rsidR="00DB5A4F" w:rsidRPr="00163496" w:rsidRDefault="00DB5A4F" w:rsidP="00DB5A4F">
      <w:pPr>
        <w:numPr>
          <w:ilvl w:val="0"/>
          <w:numId w:val="10"/>
        </w:numPr>
        <w:jc w:val="both"/>
        <w:rPr>
          <w:rFonts w:asciiTheme="minorHAnsi" w:hAnsiTheme="minorHAnsi" w:cstheme="minorHAnsi"/>
          <w:sz w:val="22"/>
          <w:szCs w:val="22"/>
        </w:rPr>
      </w:pPr>
      <w:r w:rsidRPr="00163496">
        <w:rPr>
          <w:rFonts w:asciiTheme="minorHAnsi" w:hAnsiTheme="minorHAnsi" w:cstheme="minorHAnsi"/>
          <w:sz w:val="22"/>
          <w:szCs w:val="22"/>
        </w:rPr>
        <w:t>the Unit’s internal, regional, national and international contexts – including alignment to and implementation of the Division’s Mission/Vision/Values, Goals and Objectives and University Strategic documents;</w:t>
      </w:r>
    </w:p>
    <w:p w:rsidR="00DB5A4F" w:rsidRDefault="00DB5A4F" w:rsidP="00DB5A4F">
      <w:pPr>
        <w:numPr>
          <w:ilvl w:val="0"/>
          <w:numId w:val="10"/>
        </w:numPr>
        <w:jc w:val="both"/>
        <w:rPr>
          <w:rFonts w:asciiTheme="minorHAnsi" w:hAnsiTheme="minorHAnsi" w:cstheme="minorHAnsi"/>
          <w:sz w:val="22"/>
          <w:szCs w:val="22"/>
        </w:rPr>
      </w:pPr>
      <w:r w:rsidRPr="00163496">
        <w:rPr>
          <w:rFonts w:asciiTheme="minorHAnsi" w:hAnsiTheme="minorHAnsi" w:cstheme="minorHAnsi"/>
          <w:sz w:val="22"/>
          <w:szCs w:val="22"/>
        </w:rPr>
        <w:t>the Unit’s commitment to the Treaty of Waitangi as expressed in the University’s Māori Strategic Framework;</w:t>
      </w:r>
    </w:p>
    <w:p w:rsidR="00490FC2" w:rsidRPr="00490FC2" w:rsidRDefault="00490FC2" w:rsidP="00490FC2">
      <w:pPr>
        <w:pStyle w:val="ListParagraph"/>
        <w:numPr>
          <w:ilvl w:val="0"/>
          <w:numId w:val="10"/>
        </w:numPr>
        <w:rPr>
          <w:rFonts w:asciiTheme="minorHAnsi" w:hAnsiTheme="minorHAnsi" w:cstheme="minorHAnsi"/>
          <w:sz w:val="22"/>
          <w:szCs w:val="22"/>
        </w:rPr>
      </w:pPr>
      <w:r w:rsidRPr="00490FC2">
        <w:rPr>
          <w:rFonts w:asciiTheme="minorHAnsi" w:hAnsiTheme="minorHAnsi" w:cstheme="minorHAnsi"/>
          <w:sz w:val="22"/>
          <w:szCs w:val="22"/>
        </w:rPr>
        <w:t>the Unit’s support for and contribution to the University’s sustainability initiative;</w:t>
      </w:r>
    </w:p>
    <w:p w:rsidR="00DB5A4F" w:rsidRPr="00163496" w:rsidRDefault="00DB5A4F" w:rsidP="00DB5A4F">
      <w:pPr>
        <w:numPr>
          <w:ilvl w:val="0"/>
          <w:numId w:val="10"/>
        </w:numPr>
        <w:jc w:val="both"/>
        <w:rPr>
          <w:rFonts w:asciiTheme="minorHAnsi" w:hAnsiTheme="minorHAnsi" w:cstheme="minorHAnsi"/>
          <w:sz w:val="22"/>
          <w:szCs w:val="22"/>
        </w:rPr>
      </w:pPr>
      <w:proofErr w:type="gramStart"/>
      <w:r w:rsidRPr="00163496">
        <w:rPr>
          <w:rFonts w:asciiTheme="minorHAnsi" w:hAnsiTheme="minorHAnsi" w:cstheme="minorHAnsi"/>
          <w:sz w:val="22"/>
          <w:szCs w:val="22"/>
        </w:rPr>
        <w:t>the</w:t>
      </w:r>
      <w:proofErr w:type="gramEnd"/>
      <w:r w:rsidRPr="00163496">
        <w:rPr>
          <w:rFonts w:asciiTheme="minorHAnsi" w:hAnsiTheme="minorHAnsi" w:cstheme="minorHAnsi"/>
          <w:sz w:val="22"/>
          <w:szCs w:val="22"/>
        </w:rPr>
        <w:t xml:space="preserve"> Unit’s future direction, strategic planning and goals and challenges in achieving those.</w:t>
      </w:r>
    </w:p>
    <w:p w:rsidR="0035246D" w:rsidRPr="00163496" w:rsidRDefault="0035246D" w:rsidP="009B06E8">
      <w:pPr>
        <w:jc w:val="both"/>
        <w:rPr>
          <w:rFonts w:asciiTheme="minorHAnsi" w:hAnsiTheme="minorHAnsi" w:cstheme="minorHAnsi"/>
          <w:b/>
          <w:i/>
          <w:sz w:val="22"/>
          <w:szCs w:val="22"/>
          <w:u w:val="single"/>
        </w:rPr>
      </w:pPr>
    </w:p>
    <w:p w:rsidR="009A5AE2" w:rsidRPr="00163496" w:rsidRDefault="009A5AE2" w:rsidP="009A5AE2">
      <w:pPr>
        <w:pBdr>
          <w:bottom w:val="single" w:sz="6" w:space="1" w:color="CCCCCC"/>
        </w:pBdr>
        <w:shd w:val="clear" w:color="auto" w:fill="99CCFF"/>
        <w:spacing w:before="480" w:after="288"/>
        <w:outlineLvl w:val="2"/>
        <w:rPr>
          <w:rFonts w:asciiTheme="minorHAnsi" w:hAnsiTheme="minorHAnsi" w:cstheme="minorHAnsi"/>
          <w:b/>
          <w:color w:val="333333"/>
          <w:spacing w:val="24"/>
          <w:sz w:val="22"/>
          <w:szCs w:val="22"/>
        </w:rPr>
      </w:pPr>
      <w:r w:rsidRPr="00163496">
        <w:rPr>
          <w:rFonts w:asciiTheme="minorHAnsi" w:hAnsiTheme="minorHAnsi" w:cstheme="minorHAnsi"/>
          <w:b/>
          <w:color w:val="333333"/>
          <w:spacing w:val="24"/>
          <w:sz w:val="22"/>
          <w:szCs w:val="22"/>
        </w:rPr>
        <w:t>Terms of Reference</w:t>
      </w:r>
    </w:p>
    <w:p w:rsidR="00AB2F13" w:rsidRPr="00163496" w:rsidRDefault="00AB2F13" w:rsidP="009B06E8">
      <w:pPr>
        <w:jc w:val="both"/>
        <w:rPr>
          <w:rFonts w:asciiTheme="minorHAnsi" w:hAnsiTheme="minorHAnsi" w:cstheme="minorHAnsi"/>
          <w:sz w:val="22"/>
          <w:szCs w:val="22"/>
          <w:u w:val="single"/>
        </w:rPr>
      </w:pPr>
    </w:p>
    <w:p w:rsidR="00DB5A4F" w:rsidRPr="00163496" w:rsidRDefault="00DB5A4F" w:rsidP="00DB5A4F">
      <w:pPr>
        <w:jc w:val="both"/>
        <w:rPr>
          <w:rFonts w:asciiTheme="minorHAnsi" w:hAnsiTheme="minorHAnsi" w:cstheme="minorHAnsi"/>
          <w:sz w:val="22"/>
          <w:szCs w:val="22"/>
        </w:rPr>
      </w:pPr>
      <w:r w:rsidRPr="00163496">
        <w:rPr>
          <w:rFonts w:asciiTheme="minorHAnsi" w:hAnsiTheme="minorHAnsi" w:cstheme="minorHAnsi"/>
          <w:sz w:val="22"/>
          <w:szCs w:val="22"/>
          <w:u w:val="single"/>
        </w:rPr>
        <w:t>In relation to the core activities of the Unit, to review and evaluate:</w:t>
      </w:r>
    </w:p>
    <w:p w:rsidR="00DB5A4F" w:rsidRPr="00163496" w:rsidRDefault="00DB5A4F" w:rsidP="00DB5A4F">
      <w:pPr>
        <w:numPr>
          <w:ilvl w:val="0"/>
          <w:numId w:val="11"/>
        </w:numPr>
        <w:ind w:left="720"/>
        <w:jc w:val="both"/>
        <w:rPr>
          <w:rFonts w:asciiTheme="minorHAnsi" w:hAnsiTheme="minorHAnsi" w:cstheme="minorHAnsi"/>
          <w:sz w:val="22"/>
          <w:szCs w:val="22"/>
        </w:rPr>
      </w:pPr>
      <w:r w:rsidRPr="00163496">
        <w:rPr>
          <w:rFonts w:asciiTheme="minorHAnsi" w:hAnsiTheme="minorHAnsi" w:cstheme="minorHAnsi"/>
          <w:sz w:val="22"/>
          <w:szCs w:val="22"/>
        </w:rPr>
        <w:t>the range and scope of the Unit’s services and activities with reference to its internal, regional, national and international contexts, and the continuing relevance of these activities;</w:t>
      </w:r>
    </w:p>
    <w:p w:rsidR="00DB5A4F" w:rsidRPr="00163496" w:rsidRDefault="00DB5A4F" w:rsidP="00DB5A4F">
      <w:pPr>
        <w:numPr>
          <w:ilvl w:val="0"/>
          <w:numId w:val="11"/>
        </w:numPr>
        <w:ind w:left="720"/>
        <w:jc w:val="both"/>
        <w:rPr>
          <w:rFonts w:asciiTheme="minorHAnsi" w:hAnsiTheme="minorHAnsi" w:cstheme="minorHAnsi"/>
          <w:sz w:val="22"/>
          <w:szCs w:val="22"/>
        </w:rPr>
      </w:pPr>
      <w:r w:rsidRPr="00163496">
        <w:rPr>
          <w:rFonts w:asciiTheme="minorHAnsi" w:hAnsiTheme="minorHAnsi" w:cstheme="minorHAnsi"/>
          <w:sz w:val="22"/>
          <w:szCs w:val="22"/>
        </w:rPr>
        <w:t>the identification of key stakeholders (including internal and external clients), the services and activities provided to meet their needs, including the provision of appropriate information and materials;</w:t>
      </w:r>
    </w:p>
    <w:p w:rsidR="00DB5A4F" w:rsidRPr="00163496" w:rsidRDefault="00DB5A4F" w:rsidP="00DB5A4F">
      <w:pPr>
        <w:numPr>
          <w:ilvl w:val="0"/>
          <w:numId w:val="11"/>
        </w:numPr>
        <w:ind w:left="720"/>
        <w:jc w:val="both"/>
        <w:rPr>
          <w:rFonts w:asciiTheme="minorHAnsi" w:hAnsiTheme="minorHAnsi" w:cstheme="minorHAnsi"/>
          <w:sz w:val="22"/>
          <w:szCs w:val="22"/>
        </w:rPr>
      </w:pPr>
      <w:r w:rsidRPr="00163496">
        <w:rPr>
          <w:rFonts w:asciiTheme="minorHAnsi" w:hAnsiTheme="minorHAnsi" w:cstheme="minorHAnsi"/>
          <w:sz w:val="22"/>
          <w:szCs w:val="22"/>
        </w:rPr>
        <w:t>the processes and procedures for monitoring, and where necessary improving, the quality of services and activities offered to clients</w:t>
      </w:r>
    </w:p>
    <w:p w:rsidR="00DB5A4F" w:rsidRPr="00163496" w:rsidRDefault="00DB5A4F" w:rsidP="00DB5A4F">
      <w:pPr>
        <w:numPr>
          <w:ilvl w:val="0"/>
          <w:numId w:val="11"/>
        </w:numPr>
        <w:ind w:left="720"/>
        <w:jc w:val="both"/>
        <w:rPr>
          <w:rFonts w:asciiTheme="minorHAnsi" w:hAnsiTheme="minorHAnsi" w:cstheme="minorHAnsi"/>
          <w:sz w:val="22"/>
          <w:szCs w:val="22"/>
        </w:rPr>
      </w:pPr>
      <w:r w:rsidRPr="00163496">
        <w:rPr>
          <w:rFonts w:asciiTheme="minorHAnsi" w:hAnsiTheme="minorHAnsi" w:cstheme="minorHAnsi"/>
          <w:sz w:val="22"/>
          <w:szCs w:val="22"/>
        </w:rPr>
        <w:lastRenderedPageBreak/>
        <w:t>the processes and procedures for introducing, revising, resourcing and rationalising services and activities undertaken by the Unit to ensure effective and efficient use of resources, including plans for new services and activities or improvements to existing services;</w:t>
      </w:r>
    </w:p>
    <w:p w:rsidR="00DB5A4F" w:rsidRPr="00163496" w:rsidRDefault="00DB5A4F" w:rsidP="00DB5A4F">
      <w:pPr>
        <w:numPr>
          <w:ilvl w:val="0"/>
          <w:numId w:val="11"/>
        </w:numPr>
        <w:ind w:left="720"/>
        <w:jc w:val="both"/>
        <w:rPr>
          <w:rFonts w:asciiTheme="minorHAnsi" w:hAnsiTheme="minorHAnsi" w:cstheme="minorHAnsi"/>
          <w:sz w:val="22"/>
          <w:szCs w:val="22"/>
        </w:rPr>
      </w:pPr>
      <w:r w:rsidRPr="00163496">
        <w:rPr>
          <w:rFonts w:asciiTheme="minorHAnsi" w:hAnsiTheme="minorHAnsi" w:cstheme="minorHAnsi"/>
          <w:sz w:val="22"/>
          <w:szCs w:val="22"/>
        </w:rPr>
        <w:t>the processes and procedures for considering the Unit’s services and activities with reference to its internal, region, and national context;</w:t>
      </w:r>
    </w:p>
    <w:p w:rsidR="00DB5A4F" w:rsidRPr="00163496" w:rsidRDefault="00DB5A4F" w:rsidP="00DB5A4F">
      <w:pPr>
        <w:jc w:val="both"/>
        <w:rPr>
          <w:rFonts w:asciiTheme="minorHAnsi" w:hAnsiTheme="minorHAnsi" w:cstheme="minorHAnsi"/>
          <w:sz w:val="22"/>
          <w:szCs w:val="22"/>
          <w:u w:val="single"/>
        </w:rPr>
      </w:pPr>
    </w:p>
    <w:p w:rsidR="00DB5A4F" w:rsidRPr="00163496" w:rsidRDefault="00DB5A4F" w:rsidP="00DB5A4F">
      <w:pPr>
        <w:jc w:val="both"/>
        <w:rPr>
          <w:rFonts w:asciiTheme="minorHAnsi" w:hAnsiTheme="minorHAnsi" w:cstheme="minorHAnsi"/>
          <w:sz w:val="22"/>
          <w:szCs w:val="22"/>
          <w:u w:val="single"/>
        </w:rPr>
      </w:pPr>
    </w:p>
    <w:p w:rsidR="00DB5A4F" w:rsidRPr="00163496" w:rsidRDefault="00DB5A4F" w:rsidP="00DB5A4F">
      <w:pPr>
        <w:jc w:val="both"/>
        <w:rPr>
          <w:rFonts w:asciiTheme="minorHAnsi" w:hAnsiTheme="minorHAnsi" w:cstheme="minorHAnsi"/>
          <w:sz w:val="22"/>
          <w:szCs w:val="22"/>
        </w:rPr>
      </w:pPr>
      <w:r w:rsidRPr="00163496">
        <w:rPr>
          <w:rFonts w:asciiTheme="minorHAnsi" w:hAnsiTheme="minorHAnsi" w:cstheme="minorHAnsi"/>
          <w:sz w:val="22"/>
          <w:szCs w:val="22"/>
          <w:u w:val="single"/>
        </w:rPr>
        <w:t>In relation to Student Welfare and Support, to review and evaluate the standard (quality, appropriateness, effectiveness and efficiency) in the Unit of:</w:t>
      </w:r>
    </w:p>
    <w:p w:rsidR="00DB5A4F" w:rsidRPr="00163496" w:rsidRDefault="00DB5A4F" w:rsidP="00DB5A4F">
      <w:pPr>
        <w:numPr>
          <w:ilvl w:val="0"/>
          <w:numId w:val="12"/>
        </w:numPr>
        <w:jc w:val="both"/>
        <w:rPr>
          <w:rFonts w:asciiTheme="minorHAnsi" w:hAnsiTheme="minorHAnsi" w:cstheme="minorHAnsi"/>
          <w:sz w:val="22"/>
          <w:szCs w:val="22"/>
        </w:rPr>
      </w:pPr>
      <w:r w:rsidRPr="00163496">
        <w:rPr>
          <w:rFonts w:asciiTheme="minorHAnsi" w:hAnsiTheme="minorHAnsi" w:cstheme="minorHAnsi"/>
          <w:sz w:val="22"/>
          <w:szCs w:val="22"/>
        </w:rPr>
        <w:t>provision of guidance and advice to students, including pastoral care and support;</w:t>
      </w:r>
    </w:p>
    <w:p w:rsidR="00DB5A4F" w:rsidRPr="00163496" w:rsidRDefault="00DB5A4F" w:rsidP="00DB5A4F">
      <w:pPr>
        <w:numPr>
          <w:ilvl w:val="0"/>
          <w:numId w:val="12"/>
        </w:numPr>
        <w:jc w:val="both"/>
        <w:rPr>
          <w:rFonts w:asciiTheme="minorHAnsi" w:hAnsiTheme="minorHAnsi" w:cstheme="minorHAnsi"/>
          <w:sz w:val="22"/>
          <w:szCs w:val="22"/>
        </w:rPr>
      </w:pPr>
      <w:r w:rsidRPr="00163496">
        <w:rPr>
          <w:rFonts w:asciiTheme="minorHAnsi" w:hAnsiTheme="minorHAnsi" w:cstheme="minorHAnsi"/>
          <w:sz w:val="22"/>
          <w:szCs w:val="22"/>
        </w:rPr>
        <w:t>identifying and addressing problems raised by students;</w:t>
      </w:r>
    </w:p>
    <w:p w:rsidR="00DB5A4F" w:rsidRPr="00163496" w:rsidRDefault="00DB5A4F" w:rsidP="00DB5A4F">
      <w:pPr>
        <w:numPr>
          <w:ilvl w:val="0"/>
          <w:numId w:val="12"/>
        </w:numPr>
        <w:jc w:val="both"/>
        <w:rPr>
          <w:rFonts w:asciiTheme="minorHAnsi" w:hAnsiTheme="minorHAnsi" w:cstheme="minorHAnsi"/>
          <w:sz w:val="22"/>
          <w:szCs w:val="22"/>
        </w:rPr>
      </w:pPr>
      <w:r w:rsidRPr="00163496">
        <w:rPr>
          <w:rFonts w:asciiTheme="minorHAnsi" w:hAnsiTheme="minorHAnsi" w:cstheme="minorHAnsi"/>
          <w:sz w:val="22"/>
          <w:szCs w:val="22"/>
        </w:rPr>
        <w:t>responsiveness to students with special needs;</w:t>
      </w:r>
    </w:p>
    <w:p w:rsidR="00DB5A4F" w:rsidRPr="00163496" w:rsidRDefault="00DB5A4F" w:rsidP="00DB5A4F">
      <w:pPr>
        <w:numPr>
          <w:ilvl w:val="0"/>
          <w:numId w:val="12"/>
        </w:numPr>
        <w:jc w:val="both"/>
        <w:rPr>
          <w:rFonts w:asciiTheme="minorHAnsi" w:hAnsiTheme="minorHAnsi" w:cstheme="minorHAnsi"/>
          <w:sz w:val="22"/>
          <w:szCs w:val="22"/>
        </w:rPr>
      </w:pPr>
      <w:r w:rsidRPr="00163496">
        <w:rPr>
          <w:rFonts w:asciiTheme="minorHAnsi" w:hAnsiTheme="minorHAnsi" w:cstheme="minorHAnsi"/>
          <w:sz w:val="22"/>
          <w:szCs w:val="22"/>
        </w:rPr>
        <w:t>responsiveness to students from different cultures;</w:t>
      </w:r>
    </w:p>
    <w:p w:rsidR="00DB5A4F" w:rsidRPr="00163496" w:rsidRDefault="00DB5A4F" w:rsidP="00DB5A4F">
      <w:pPr>
        <w:numPr>
          <w:ilvl w:val="0"/>
          <w:numId w:val="12"/>
        </w:numPr>
        <w:jc w:val="both"/>
        <w:rPr>
          <w:rFonts w:asciiTheme="minorHAnsi" w:hAnsiTheme="minorHAnsi" w:cstheme="minorHAnsi"/>
          <w:sz w:val="22"/>
          <w:szCs w:val="22"/>
        </w:rPr>
      </w:pPr>
      <w:r w:rsidRPr="00163496">
        <w:rPr>
          <w:rFonts w:asciiTheme="minorHAnsi" w:hAnsiTheme="minorHAnsi" w:cstheme="minorHAnsi"/>
          <w:sz w:val="22"/>
          <w:szCs w:val="22"/>
        </w:rPr>
        <w:t>responding to the University’s Code of Conduct;</w:t>
      </w:r>
    </w:p>
    <w:p w:rsidR="00DB5A4F" w:rsidRPr="00163496" w:rsidRDefault="00DB5A4F" w:rsidP="00DB5A4F">
      <w:pPr>
        <w:numPr>
          <w:ilvl w:val="0"/>
          <w:numId w:val="12"/>
        </w:numPr>
        <w:jc w:val="both"/>
        <w:rPr>
          <w:rFonts w:asciiTheme="minorHAnsi" w:hAnsiTheme="minorHAnsi" w:cstheme="minorHAnsi"/>
          <w:sz w:val="22"/>
          <w:szCs w:val="22"/>
        </w:rPr>
      </w:pPr>
      <w:proofErr w:type="gramStart"/>
      <w:r w:rsidRPr="00163496">
        <w:rPr>
          <w:rFonts w:asciiTheme="minorHAnsi" w:hAnsiTheme="minorHAnsi" w:cstheme="minorHAnsi"/>
          <w:sz w:val="22"/>
          <w:szCs w:val="22"/>
        </w:rPr>
        <w:t>provision</w:t>
      </w:r>
      <w:proofErr w:type="gramEnd"/>
      <w:r w:rsidRPr="00163496">
        <w:rPr>
          <w:rFonts w:asciiTheme="minorHAnsi" w:hAnsiTheme="minorHAnsi" w:cstheme="minorHAnsi"/>
          <w:sz w:val="22"/>
          <w:szCs w:val="22"/>
        </w:rPr>
        <w:t xml:space="preserve"> and use of information technology services.</w:t>
      </w:r>
    </w:p>
    <w:p w:rsidR="00DB5A4F" w:rsidRPr="00163496" w:rsidRDefault="00DB5A4F" w:rsidP="00DB5A4F">
      <w:pPr>
        <w:jc w:val="both"/>
        <w:rPr>
          <w:rFonts w:asciiTheme="minorHAnsi" w:hAnsiTheme="minorHAnsi" w:cstheme="minorHAnsi"/>
          <w:sz w:val="22"/>
          <w:szCs w:val="22"/>
          <w:u w:val="single"/>
        </w:rPr>
      </w:pPr>
    </w:p>
    <w:p w:rsidR="00DB5A4F" w:rsidRPr="00163496" w:rsidRDefault="00DB5A4F" w:rsidP="00DB5A4F">
      <w:pPr>
        <w:jc w:val="both"/>
        <w:rPr>
          <w:rFonts w:asciiTheme="minorHAnsi" w:hAnsiTheme="minorHAnsi" w:cstheme="minorHAnsi"/>
          <w:sz w:val="22"/>
          <w:szCs w:val="22"/>
          <w:u w:val="single"/>
        </w:rPr>
      </w:pPr>
      <w:r w:rsidRPr="00163496">
        <w:rPr>
          <w:rFonts w:asciiTheme="minorHAnsi" w:hAnsiTheme="minorHAnsi" w:cstheme="minorHAnsi"/>
          <w:sz w:val="22"/>
          <w:szCs w:val="22"/>
          <w:u w:val="single"/>
        </w:rPr>
        <w:t>In relation to administration and operational processes, to review and evaluate the standard (quality, appropriateness, effectiveness and efficiency) in the Unit of:</w:t>
      </w:r>
    </w:p>
    <w:p w:rsidR="00DB5A4F" w:rsidRPr="00163496" w:rsidRDefault="00DB5A4F" w:rsidP="00DB5A4F">
      <w:pPr>
        <w:numPr>
          <w:ilvl w:val="0"/>
          <w:numId w:val="3"/>
        </w:numPr>
        <w:tabs>
          <w:tab w:val="clear" w:pos="1080"/>
          <w:tab w:val="num" w:pos="720"/>
        </w:tabs>
        <w:ind w:left="720"/>
        <w:jc w:val="both"/>
        <w:rPr>
          <w:rFonts w:asciiTheme="minorHAnsi" w:hAnsiTheme="minorHAnsi" w:cstheme="minorHAnsi"/>
          <w:sz w:val="22"/>
          <w:szCs w:val="22"/>
        </w:rPr>
      </w:pPr>
      <w:r w:rsidRPr="00163496">
        <w:rPr>
          <w:rFonts w:asciiTheme="minorHAnsi" w:hAnsiTheme="minorHAnsi" w:cstheme="minorHAnsi"/>
          <w:sz w:val="22"/>
          <w:szCs w:val="22"/>
        </w:rPr>
        <w:t>structure and management – including institutional oversight, committee structure, leadership in regard to developing and maintaining the professional standing and reputation of the Unit, ensuring employee capability through mentoring, training and development, and the PDR process;</w:t>
      </w:r>
    </w:p>
    <w:p w:rsidR="00DB5A4F" w:rsidRPr="00163496" w:rsidRDefault="00DB5A4F" w:rsidP="00DB5A4F">
      <w:pPr>
        <w:numPr>
          <w:ilvl w:val="0"/>
          <w:numId w:val="3"/>
        </w:numPr>
        <w:tabs>
          <w:tab w:val="clear" w:pos="1080"/>
          <w:tab w:val="num" w:pos="720"/>
        </w:tabs>
        <w:ind w:left="720"/>
        <w:jc w:val="both"/>
        <w:rPr>
          <w:rFonts w:asciiTheme="minorHAnsi" w:hAnsiTheme="minorHAnsi" w:cstheme="minorHAnsi"/>
          <w:sz w:val="22"/>
          <w:szCs w:val="22"/>
        </w:rPr>
      </w:pPr>
      <w:r w:rsidRPr="00163496">
        <w:rPr>
          <w:rFonts w:asciiTheme="minorHAnsi" w:hAnsiTheme="minorHAnsi" w:cstheme="minorHAnsi"/>
          <w:sz w:val="22"/>
          <w:szCs w:val="22"/>
        </w:rPr>
        <w:t>monitoring and evaluation – including consultation and liaison with staff, students and other members of the University and wider community, incorporating feedback into planning, core activities and operations, identifying and making improvements to the core activities;</w:t>
      </w:r>
    </w:p>
    <w:p w:rsidR="00DB5A4F" w:rsidRPr="00163496" w:rsidRDefault="00DB5A4F" w:rsidP="00DB5A4F">
      <w:pPr>
        <w:numPr>
          <w:ilvl w:val="0"/>
          <w:numId w:val="3"/>
        </w:numPr>
        <w:tabs>
          <w:tab w:val="clear" w:pos="1080"/>
          <w:tab w:val="num" w:pos="720"/>
        </w:tabs>
        <w:ind w:left="720"/>
        <w:jc w:val="both"/>
        <w:rPr>
          <w:rFonts w:asciiTheme="minorHAnsi" w:hAnsiTheme="minorHAnsi" w:cstheme="minorHAnsi"/>
          <w:sz w:val="22"/>
          <w:szCs w:val="22"/>
        </w:rPr>
      </w:pPr>
      <w:r w:rsidRPr="00163496">
        <w:rPr>
          <w:rFonts w:asciiTheme="minorHAnsi" w:hAnsiTheme="minorHAnsi" w:cstheme="minorHAnsi"/>
          <w:sz w:val="22"/>
          <w:szCs w:val="22"/>
        </w:rPr>
        <w:t>physical and IT resources;</w:t>
      </w:r>
    </w:p>
    <w:p w:rsidR="00DB5A4F" w:rsidRDefault="00DB5A4F" w:rsidP="00DB5A4F">
      <w:pPr>
        <w:numPr>
          <w:ilvl w:val="0"/>
          <w:numId w:val="3"/>
        </w:numPr>
        <w:tabs>
          <w:tab w:val="clear" w:pos="1080"/>
          <w:tab w:val="num" w:pos="720"/>
        </w:tabs>
        <w:ind w:left="720"/>
        <w:jc w:val="both"/>
        <w:rPr>
          <w:rFonts w:asciiTheme="minorHAnsi" w:hAnsiTheme="minorHAnsi" w:cstheme="minorHAnsi"/>
          <w:sz w:val="22"/>
          <w:szCs w:val="22"/>
        </w:rPr>
      </w:pPr>
      <w:r w:rsidRPr="00163496">
        <w:rPr>
          <w:rFonts w:asciiTheme="minorHAnsi" w:hAnsiTheme="minorHAnsi" w:cstheme="minorHAnsi"/>
          <w:sz w:val="22"/>
          <w:szCs w:val="22"/>
        </w:rPr>
        <w:t>Health and Safety</w:t>
      </w:r>
      <w:r w:rsidR="00490FC2">
        <w:rPr>
          <w:rFonts w:asciiTheme="minorHAnsi" w:hAnsiTheme="minorHAnsi" w:cstheme="minorHAnsi"/>
          <w:sz w:val="22"/>
          <w:szCs w:val="22"/>
        </w:rPr>
        <w:t>;</w:t>
      </w:r>
    </w:p>
    <w:p w:rsidR="00490FC2" w:rsidRPr="00490FC2" w:rsidRDefault="00490FC2" w:rsidP="00490FC2">
      <w:pPr>
        <w:numPr>
          <w:ilvl w:val="0"/>
          <w:numId w:val="3"/>
        </w:numPr>
        <w:tabs>
          <w:tab w:val="clear" w:pos="1080"/>
          <w:tab w:val="num" w:pos="720"/>
        </w:tabs>
        <w:ind w:left="720"/>
        <w:jc w:val="both"/>
        <w:rPr>
          <w:rFonts w:asciiTheme="minorHAnsi" w:hAnsiTheme="minorHAnsi" w:cstheme="minorHAnsi"/>
          <w:sz w:val="22"/>
          <w:szCs w:val="22"/>
        </w:rPr>
      </w:pPr>
      <w:proofErr w:type="gramStart"/>
      <w:r w:rsidRPr="00490FC2">
        <w:rPr>
          <w:rFonts w:asciiTheme="minorHAnsi" w:hAnsiTheme="minorHAnsi" w:cstheme="minorHAnsi"/>
          <w:sz w:val="22"/>
          <w:szCs w:val="22"/>
        </w:rPr>
        <w:t>sustainability</w:t>
      </w:r>
      <w:proofErr w:type="gramEnd"/>
      <w:r w:rsidRPr="00490FC2">
        <w:rPr>
          <w:rFonts w:asciiTheme="minorHAnsi" w:hAnsiTheme="minorHAnsi" w:cstheme="minorHAnsi"/>
          <w:sz w:val="22"/>
          <w:szCs w:val="22"/>
        </w:rPr>
        <w:t xml:space="preserve"> – demonstrating practices that promote sustainability, reduce the Unit’s environmental footprint, improve resource efficiency and enhance the quality of life on campus. </w:t>
      </w:r>
    </w:p>
    <w:p w:rsidR="00DB5A4F" w:rsidRPr="00163496" w:rsidRDefault="00DB5A4F" w:rsidP="00DB5A4F">
      <w:pPr>
        <w:numPr>
          <w:ilvl w:val="0"/>
          <w:numId w:val="3"/>
        </w:numPr>
        <w:tabs>
          <w:tab w:val="clear" w:pos="1080"/>
          <w:tab w:val="num" w:pos="720"/>
        </w:tabs>
        <w:ind w:left="720"/>
        <w:jc w:val="both"/>
        <w:rPr>
          <w:rFonts w:asciiTheme="minorHAnsi" w:hAnsiTheme="minorHAnsi" w:cstheme="minorHAnsi"/>
          <w:sz w:val="22"/>
          <w:szCs w:val="22"/>
        </w:rPr>
      </w:pPr>
      <w:proofErr w:type="gramStart"/>
      <w:r w:rsidRPr="00163496">
        <w:rPr>
          <w:rFonts w:asciiTheme="minorHAnsi" w:hAnsiTheme="minorHAnsi" w:cstheme="minorHAnsi"/>
          <w:sz w:val="22"/>
          <w:szCs w:val="22"/>
        </w:rPr>
        <w:t>budgeting</w:t>
      </w:r>
      <w:proofErr w:type="gramEnd"/>
      <w:r w:rsidRPr="00163496">
        <w:rPr>
          <w:rFonts w:asciiTheme="minorHAnsi" w:hAnsiTheme="minorHAnsi" w:cstheme="minorHAnsi"/>
          <w:sz w:val="22"/>
          <w:szCs w:val="22"/>
        </w:rPr>
        <w:t xml:space="preserve"> and reporting.</w:t>
      </w:r>
    </w:p>
    <w:p w:rsidR="00DB5A4F" w:rsidRPr="00163496" w:rsidRDefault="00DB5A4F" w:rsidP="00DB5A4F">
      <w:pPr>
        <w:jc w:val="both"/>
        <w:rPr>
          <w:rFonts w:asciiTheme="minorHAnsi" w:hAnsiTheme="minorHAnsi" w:cstheme="minorHAnsi"/>
          <w:sz w:val="22"/>
          <w:szCs w:val="22"/>
        </w:rPr>
      </w:pPr>
    </w:p>
    <w:p w:rsidR="00DB5A4F" w:rsidRPr="00163496" w:rsidRDefault="00DB5A4F" w:rsidP="00DB5A4F">
      <w:pPr>
        <w:jc w:val="both"/>
        <w:rPr>
          <w:rFonts w:asciiTheme="minorHAnsi" w:hAnsiTheme="minorHAnsi" w:cstheme="minorHAnsi"/>
          <w:sz w:val="22"/>
          <w:szCs w:val="22"/>
        </w:rPr>
      </w:pPr>
    </w:p>
    <w:p w:rsidR="00DB5A4F" w:rsidRPr="00163496" w:rsidRDefault="00DB5A4F" w:rsidP="00DB5A4F">
      <w:pPr>
        <w:jc w:val="both"/>
        <w:rPr>
          <w:rFonts w:asciiTheme="minorHAnsi" w:hAnsiTheme="minorHAnsi" w:cstheme="minorHAnsi"/>
          <w:sz w:val="22"/>
          <w:szCs w:val="22"/>
          <w:u w:val="single"/>
        </w:rPr>
      </w:pPr>
      <w:r w:rsidRPr="00163496">
        <w:rPr>
          <w:rFonts w:asciiTheme="minorHAnsi" w:hAnsiTheme="minorHAnsi" w:cstheme="minorHAnsi"/>
          <w:sz w:val="22"/>
          <w:szCs w:val="22"/>
          <w:u w:val="single"/>
        </w:rPr>
        <w:t>In relation to planning, to review and evaluate:</w:t>
      </w:r>
    </w:p>
    <w:p w:rsidR="00DB5A4F" w:rsidRPr="00163496" w:rsidRDefault="00DB5A4F" w:rsidP="00DB5A4F">
      <w:pPr>
        <w:numPr>
          <w:ilvl w:val="0"/>
          <w:numId w:val="3"/>
        </w:numPr>
        <w:tabs>
          <w:tab w:val="clear" w:pos="1080"/>
          <w:tab w:val="num" w:pos="720"/>
        </w:tabs>
        <w:ind w:left="720"/>
        <w:jc w:val="both"/>
        <w:rPr>
          <w:rFonts w:asciiTheme="minorHAnsi" w:hAnsiTheme="minorHAnsi" w:cstheme="minorHAnsi"/>
          <w:sz w:val="22"/>
          <w:szCs w:val="22"/>
        </w:rPr>
      </w:pPr>
      <w:r w:rsidRPr="00163496">
        <w:rPr>
          <w:rFonts w:asciiTheme="minorHAnsi" w:hAnsiTheme="minorHAnsi" w:cstheme="minorHAnsi"/>
          <w:sz w:val="22"/>
          <w:szCs w:val="22"/>
        </w:rPr>
        <w:t>planning – including identifying, considering and responding to problems and challenges, and alignment to Divisional and University strategic plans;</w:t>
      </w:r>
    </w:p>
    <w:p w:rsidR="00DB5A4F" w:rsidRPr="00163496" w:rsidRDefault="00DB5A4F" w:rsidP="00DB5A4F">
      <w:pPr>
        <w:numPr>
          <w:ilvl w:val="0"/>
          <w:numId w:val="3"/>
        </w:numPr>
        <w:tabs>
          <w:tab w:val="clear" w:pos="1080"/>
          <w:tab w:val="num" w:pos="720"/>
        </w:tabs>
        <w:ind w:left="720"/>
        <w:jc w:val="both"/>
        <w:rPr>
          <w:rFonts w:asciiTheme="minorHAnsi" w:hAnsiTheme="minorHAnsi" w:cstheme="minorHAnsi"/>
          <w:sz w:val="22"/>
          <w:szCs w:val="22"/>
        </w:rPr>
      </w:pPr>
      <w:proofErr w:type="gramStart"/>
      <w:r w:rsidRPr="00163496">
        <w:rPr>
          <w:rFonts w:asciiTheme="minorHAnsi" w:hAnsiTheme="minorHAnsi" w:cstheme="minorHAnsi"/>
          <w:sz w:val="22"/>
          <w:szCs w:val="22"/>
        </w:rPr>
        <w:t>the</w:t>
      </w:r>
      <w:proofErr w:type="gramEnd"/>
      <w:r w:rsidRPr="00163496">
        <w:rPr>
          <w:rFonts w:asciiTheme="minorHAnsi" w:hAnsiTheme="minorHAnsi" w:cstheme="minorHAnsi"/>
          <w:sz w:val="22"/>
          <w:szCs w:val="22"/>
        </w:rPr>
        <w:t xml:space="preserve"> Unit’s commitment to the Treaty of Waitangi as expressed in the University’s Māori Strategic Framework.</w:t>
      </w:r>
    </w:p>
    <w:p w:rsidR="00DB5A4F" w:rsidRPr="00163496" w:rsidRDefault="00DB5A4F" w:rsidP="00DB5A4F">
      <w:pPr>
        <w:jc w:val="both"/>
        <w:rPr>
          <w:rFonts w:asciiTheme="minorHAnsi" w:hAnsiTheme="minorHAnsi" w:cstheme="minorHAnsi"/>
          <w:sz w:val="22"/>
          <w:szCs w:val="22"/>
        </w:rPr>
      </w:pPr>
    </w:p>
    <w:p w:rsidR="00DB5A4F" w:rsidRPr="00163496" w:rsidRDefault="00DB5A4F" w:rsidP="00DB5A4F">
      <w:pPr>
        <w:jc w:val="both"/>
        <w:rPr>
          <w:rFonts w:asciiTheme="minorHAnsi" w:hAnsiTheme="minorHAnsi" w:cstheme="minorHAnsi"/>
          <w:sz w:val="22"/>
          <w:szCs w:val="22"/>
        </w:rPr>
      </w:pPr>
    </w:p>
    <w:p w:rsidR="00DB5A4F" w:rsidRPr="00163496" w:rsidRDefault="00DB5A4F" w:rsidP="00DB5A4F">
      <w:pPr>
        <w:jc w:val="both"/>
        <w:rPr>
          <w:rFonts w:asciiTheme="minorHAnsi" w:hAnsiTheme="minorHAnsi" w:cstheme="minorHAnsi"/>
          <w:sz w:val="22"/>
          <w:szCs w:val="22"/>
        </w:rPr>
      </w:pPr>
      <w:r w:rsidRPr="00163496">
        <w:rPr>
          <w:rFonts w:asciiTheme="minorHAnsi" w:hAnsiTheme="minorHAnsi" w:cstheme="minorHAnsi"/>
          <w:sz w:val="22"/>
          <w:szCs w:val="22"/>
        </w:rPr>
        <w:t>Any other aspect of the Unit considered appropriate by the Review Panel.</w:t>
      </w:r>
    </w:p>
    <w:p w:rsidR="00F92060" w:rsidRDefault="00F92060" w:rsidP="009B06E8">
      <w:pPr>
        <w:jc w:val="both"/>
      </w:pPr>
    </w:p>
    <w:sectPr w:rsidR="00F92060" w:rsidSect="00654B8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A56" w:rsidRDefault="00AF6A56">
      <w:r>
        <w:separator/>
      </w:r>
    </w:p>
  </w:endnote>
  <w:endnote w:type="continuationSeparator" w:id="0">
    <w:p w:rsidR="00AF6A56" w:rsidRDefault="00AF6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A56" w:rsidRDefault="00AF6A56">
      <w:r>
        <w:separator/>
      </w:r>
    </w:p>
  </w:footnote>
  <w:footnote w:type="continuationSeparator" w:id="0">
    <w:p w:rsidR="00AF6A56" w:rsidRDefault="00AF6A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49D7662"/>
    <w:multiLevelType w:val="hybridMultilevel"/>
    <w:tmpl w:val="A2FE98EA"/>
    <w:lvl w:ilvl="0" w:tplc="FFFFFFFF">
      <w:start w:val="1"/>
      <w:numFmt w:val="lowerLetter"/>
      <w:lvlText w:val="(%1)"/>
      <w:lvlJc w:val="left"/>
      <w:pPr>
        <w:tabs>
          <w:tab w:val="num" w:pos="1574"/>
        </w:tabs>
        <w:ind w:left="1574" w:hanging="44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AF2C2D"/>
    <w:multiLevelType w:val="hybridMultilevel"/>
    <w:tmpl w:val="06F89176"/>
    <w:lvl w:ilvl="0" w:tplc="FFFFFFFF">
      <w:start w:val="1"/>
      <w:numFmt w:val="lowerLetter"/>
      <w:lvlText w:val="(%1)"/>
      <w:lvlJc w:val="left"/>
      <w:pPr>
        <w:tabs>
          <w:tab w:val="num" w:pos="1160"/>
        </w:tabs>
        <w:ind w:left="1160" w:hanging="44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CB807E0"/>
    <w:multiLevelType w:val="hybridMultilevel"/>
    <w:tmpl w:val="ADA87F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3506DC"/>
    <w:multiLevelType w:val="hybridMultilevel"/>
    <w:tmpl w:val="8CAAD3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A4B38C8"/>
    <w:multiLevelType w:val="hybridMultilevel"/>
    <w:tmpl w:val="10AAB24C"/>
    <w:lvl w:ilvl="0" w:tplc="B3F8AE6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8324E0"/>
    <w:multiLevelType w:val="hybridMultilevel"/>
    <w:tmpl w:val="AFB2EA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D9025CA"/>
    <w:multiLevelType w:val="hybridMultilevel"/>
    <w:tmpl w:val="EA126E14"/>
    <w:lvl w:ilvl="0" w:tplc="AB38320C">
      <w:start w:val="1"/>
      <w:numFmt w:val="bullet"/>
      <w:lvlText w:val=""/>
      <w:lvlJc w:val="left"/>
      <w:pPr>
        <w:tabs>
          <w:tab w:val="num" w:pos="72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8C3F53"/>
    <w:multiLevelType w:val="hybridMultilevel"/>
    <w:tmpl w:val="314828BC"/>
    <w:lvl w:ilvl="0" w:tplc="B3F8AE6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5D3C69"/>
    <w:multiLevelType w:val="hybridMultilevel"/>
    <w:tmpl w:val="B6765E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2B16A06"/>
    <w:multiLevelType w:val="hybridMultilevel"/>
    <w:tmpl w:val="4D4235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07044E7"/>
    <w:multiLevelType w:val="hybridMultilevel"/>
    <w:tmpl w:val="1102B61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26"/>
        </w:tabs>
        <w:ind w:left="1026" w:hanging="360"/>
      </w:pPr>
      <w:rPr>
        <w:rFonts w:ascii="Symbol" w:hAnsi="Symbol" w:hint="default"/>
      </w:rPr>
    </w:lvl>
    <w:lvl w:ilvl="2" w:tplc="0409001B" w:tentative="1">
      <w:start w:val="1"/>
      <w:numFmt w:val="lowerRoman"/>
      <w:lvlText w:val="%3."/>
      <w:lvlJc w:val="right"/>
      <w:pPr>
        <w:tabs>
          <w:tab w:val="num" w:pos="1746"/>
        </w:tabs>
        <w:ind w:left="1746" w:hanging="180"/>
      </w:pPr>
    </w:lvl>
    <w:lvl w:ilvl="3" w:tplc="0409000F" w:tentative="1">
      <w:start w:val="1"/>
      <w:numFmt w:val="decimal"/>
      <w:lvlText w:val="%4."/>
      <w:lvlJc w:val="left"/>
      <w:pPr>
        <w:tabs>
          <w:tab w:val="num" w:pos="2466"/>
        </w:tabs>
        <w:ind w:left="2466" w:hanging="360"/>
      </w:pPr>
    </w:lvl>
    <w:lvl w:ilvl="4" w:tplc="04090019" w:tentative="1">
      <w:start w:val="1"/>
      <w:numFmt w:val="lowerLetter"/>
      <w:lvlText w:val="%5."/>
      <w:lvlJc w:val="left"/>
      <w:pPr>
        <w:tabs>
          <w:tab w:val="num" w:pos="3186"/>
        </w:tabs>
        <w:ind w:left="3186" w:hanging="360"/>
      </w:pPr>
    </w:lvl>
    <w:lvl w:ilvl="5" w:tplc="0409001B" w:tentative="1">
      <w:start w:val="1"/>
      <w:numFmt w:val="lowerRoman"/>
      <w:lvlText w:val="%6."/>
      <w:lvlJc w:val="right"/>
      <w:pPr>
        <w:tabs>
          <w:tab w:val="num" w:pos="3906"/>
        </w:tabs>
        <w:ind w:left="3906" w:hanging="180"/>
      </w:pPr>
    </w:lvl>
    <w:lvl w:ilvl="6" w:tplc="0409000F" w:tentative="1">
      <w:start w:val="1"/>
      <w:numFmt w:val="decimal"/>
      <w:lvlText w:val="%7."/>
      <w:lvlJc w:val="left"/>
      <w:pPr>
        <w:tabs>
          <w:tab w:val="num" w:pos="4626"/>
        </w:tabs>
        <w:ind w:left="4626" w:hanging="360"/>
      </w:pPr>
    </w:lvl>
    <w:lvl w:ilvl="7" w:tplc="04090019" w:tentative="1">
      <w:start w:val="1"/>
      <w:numFmt w:val="lowerLetter"/>
      <w:lvlText w:val="%8."/>
      <w:lvlJc w:val="left"/>
      <w:pPr>
        <w:tabs>
          <w:tab w:val="num" w:pos="5346"/>
        </w:tabs>
        <w:ind w:left="5346" w:hanging="360"/>
      </w:pPr>
    </w:lvl>
    <w:lvl w:ilvl="8" w:tplc="0409001B" w:tentative="1">
      <w:start w:val="1"/>
      <w:numFmt w:val="lowerRoman"/>
      <w:lvlText w:val="%9."/>
      <w:lvlJc w:val="right"/>
      <w:pPr>
        <w:tabs>
          <w:tab w:val="num" w:pos="6066"/>
        </w:tabs>
        <w:ind w:left="6066" w:hanging="180"/>
      </w:pPr>
    </w:lvl>
  </w:abstractNum>
  <w:num w:numId="1">
    <w:abstractNumId w:val="1"/>
  </w:num>
  <w:num w:numId="2">
    <w:abstractNumId w:val="4"/>
  </w:num>
  <w:num w:numId="3">
    <w:abstractNumId w:val="11"/>
  </w:num>
  <w:num w:numId="4">
    <w:abstractNumId w:val="6"/>
  </w:num>
  <w:num w:numId="5">
    <w:abstractNumId w:val="2"/>
  </w:num>
  <w:num w:numId="6">
    <w:abstractNumId w:val="9"/>
  </w:num>
  <w:num w:numId="7">
    <w:abstractNumId w:val="10"/>
  </w:num>
  <w:num w:numId="8">
    <w:abstractNumId w:val="3"/>
  </w:num>
  <w:num w:numId="9">
    <w:abstractNumId w:val="7"/>
  </w:num>
  <w:num w:numId="10">
    <w:abstractNumId w:val="8"/>
  </w:num>
  <w:num w:numId="1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19"/>
    <w:rsid w:val="00003619"/>
    <w:rsid w:val="000462CD"/>
    <w:rsid w:val="00072A96"/>
    <w:rsid w:val="00091D98"/>
    <w:rsid w:val="000A25F4"/>
    <w:rsid w:val="000C6FB9"/>
    <w:rsid w:val="0012753E"/>
    <w:rsid w:val="001375F4"/>
    <w:rsid w:val="00141D03"/>
    <w:rsid w:val="00163496"/>
    <w:rsid w:val="001702EA"/>
    <w:rsid w:val="00185BAE"/>
    <w:rsid w:val="00194539"/>
    <w:rsid w:val="001E7A78"/>
    <w:rsid w:val="00201CE0"/>
    <w:rsid w:val="00262273"/>
    <w:rsid w:val="002A4D82"/>
    <w:rsid w:val="002C3F05"/>
    <w:rsid w:val="0035246D"/>
    <w:rsid w:val="003536A7"/>
    <w:rsid w:val="0039079F"/>
    <w:rsid w:val="00415DB6"/>
    <w:rsid w:val="00490FC2"/>
    <w:rsid w:val="004F5D68"/>
    <w:rsid w:val="005131C1"/>
    <w:rsid w:val="00555B12"/>
    <w:rsid w:val="00572739"/>
    <w:rsid w:val="005D7158"/>
    <w:rsid w:val="005E1C85"/>
    <w:rsid w:val="00610207"/>
    <w:rsid w:val="00654B89"/>
    <w:rsid w:val="0066475B"/>
    <w:rsid w:val="00670475"/>
    <w:rsid w:val="007D4F5F"/>
    <w:rsid w:val="007E1232"/>
    <w:rsid w:val="00823789"/>
    <w:rsid w:val="00867722"/>
    <w:rsid w:val="0094707A"/>
    <w:rsid w:val="009A5AE2"/>
    <w:rsid w:val="009B06E8"/>
    <w:rsid w:val="009B4359"/>
    <w:rsid w:val="00A20AC6"/>
    <w:rsid w:val="00A654E7"/>
    <w:rsid w:val="00AB2F13"/>
    <w:rsid w:val="00AC29C4"/>
    <w:rsid w:val="00AD6F3F"/>
    <w:rsid w:val="00AE6CC4"/>
    <w:rsid w:val="00AF6A56"/>
    <w:rsid w:val="00B13809"/>
    <w:rsid w:val="00B84D12"/>
    <w:rsid w:val="00BB26A0"/>
    <w:rsid w:val="00BD453F"/>
    <w:rsid w:val="00BD5AF6"/>
    <w:rsid w:val="00C86BD6"/>
    <w:rsid w:val="00D15BF1"/>
    <w:rsid w:val="00D4335E"/>
    <w:rsid w:val="00D804A6"/>
    <w:rsid w:val="00DB5A4F"/>
    <w:rsid w:val="00DB5B94"/>
    <w:rsid w:val="00DF68E7"/>
    <w:rsid w:val="00E3288E"/>
    <w:rsid w:val="00F322DB"/>
    <w:rsid w:val="00F50CAC"/>
    <w:rsid w:val="00F60169"/>
    <w:rsid w:val="00F92060"/>
    <w:rsid w:val="00F949E1"/>
    <w:rsid w:val="00F9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B89"/>
    <w:rPr>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7A78"/>
    <w:rPr>
      <w:rFonts w:ascii="Tahoma" w:hAnsi="Tahoma" w:cs="Tahoma"/>
      <w:sz w:val="16"/>
      <w:szCs w:val="16"/>
    </w:rPr>
  </w:style>
  <w:style w:type="paragraph" w:styleId="FootnoteText">
    <w:name w:val="footnote text"/>
    <w:basedOn w:val="Normal"/>
    <w:semiHidden/>
    <w:rsid w:val="002C3F05"/>
    <w:rPr>
      <w:sz w:val="20"/>
      <w:szCs w:val="20"/>
    </w:rPr>
  </w:style>
  <w:style w:type="character" w:styleId="FootnoteReference">
    <w:name w:val="footnote reference"/>
    <w:basedOn w:val="DefaultParagraphFont"/>
    <w:semiHidden/>
    <w:rsid w:val="002C3F05"/>
    <w:rPr>
      <w:vertAlign w:val="superscript"/>
    </w:rPr>
  </w:style>
  <w:style w:type="character" w:styleId="Strong">
    <w:name w:val="Strong"/>
    <w:basedOn w:val="DefaultParagraphFont"/>
    <w:qFormat/>
    <w:rsid w:val="00415DB6"/>
    <w:rPr>
      <w:b/>
      <w:bCs/>
    </w:rPr>
  </w:style>
  <w:style w:type="paragraph" w:styleId="ListParagraph">
    <w:name w:val="List Paragraph"/>
    <w:basedOn w:val="Normal"/>
    <w:uiPriority w:val="34"/>
    <w:qFormat/>
    <w:rsid w:val="00490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4B89"/>
    <w:rPr>
      <w:sz w:val="24"/>
      <w:szCs w:val="24"/>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E7A78"/>
    <w:rPr>
      <w:rFonts w:ascii="Tahoma" w:hAnsi="Tahoma" w:cs="Tahoma"/>
      <w:sz w:val="16"/>
      <w:szCs w:val="16"/>
    </w:rPr>
  </w:style>
  <w:style w:type="paragraph" w:styleId="FootnoteText">
    <w:name w:val="footnote text"/>
    <w:basedOn w:val="Normal"/>
    <w:semiHidden/>
    <w:rsid w:val="002C3F05"/>
    <w:rPr>
      <w:sz w:val="20"/>
      <w:szCs w:val="20"/>
    </w:rPr>
  </w:style>
  <w:style w:type="character" w:styleId="FootnoteReference">
    <w:name w:val="footnote reference"/>
    <w:basedOn w:val="DefaultParagraphFont"/>
    <w:semiHidden/>
    <w:rsid w:val="002C3F05"/>
    <w:rPr>
      <w:vertAlign w:val="superscript"/>
    </w:rPr>
  </w:style>
  <w:style w:type="character" w:styleId="Strong">
    <w:name w:val="Strong"/>
    <w:basedOn w:val="DefaultParagraphFont"/>
    <w:qFormat/>
    <w:rsid w:val="00415DB6"/>
    <w:rPr>
      <w:b/>
      <w:bCs/>
    </w:rPr>
  </w:style>
  <w:style w:type="paragraph" w:styleId="ListParagraph">
    <w:name w:val="List Paragraph"/>
    <w:basedOn w:val="Normal"/>
    <w:uiPriority w:val="34"/>
    <w:qFormat/>
    <w:rsid w:val="00490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Draft Terms of Reference – Departmental Review</vt:lpstr>
    </vt:vector>
  </TitlesOfParts>
  <Company>University of Otago</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Terms of Reference – Departmental Review</dc:title>
  <dc:creator>Quality Advancement Unit</dc:creator>
  <cp:lastModifiedBy>Annabel Rutherford</cp:lastModifiedBy>
  <cp:revision>3</cp:revision>
  <dcterms:created xsi:type="dcterms:W3CDTF">2014-01-07T00:17:00Z</dcterms:created>
  <dcterms:modified xsi:type="dcterms:W3CDTF">2014-01-07T00:17:00Z</dcterms:modified>
</cp:coreProperties>
</file>