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877" w14:textId="1DA9B9E6" w:rsidR="007F43F0" w:rsidRPr="00AF121A" w:rsidRDefault="007F43F0" w:rsidP="007F43F0">
      <w:pPr>
        <w:jc w:val="center"/>
        <w:outlineLvl w:val="0"/>
        <w:rPr>
          <w:rFonts w:ascii="Arial" w:hAnsi="Arial" w:cs="Arial"/>
          <w:b/>
          <w:sz w:val="36"/>
          <w:szCs w:val="36"/>
        </w:rPr>
      </w:pPr>
      <w:r w:rsidRPr="00AF121A">
        <w:rPr>
          <w:rFonts w:ascii="Arial" w:hAnsi="Arial" w:cs="Arial"/>
          <w:b/>
          <w:sz w:val="36"/>
          <w:szCs w:val="36"/>
        </w:rPr>
        <w:t>Maurice Wilkins Centre</w:t>
      </w:r>
    </w:p>
    <w:p w14:paraId="605CC0AA" w14:textId="38C7769B" w:rsidR="007F43F0" w:rsidRPr="0020162B" w:rsidRDefault="007F43F0" w:rsidP="007F43F0">
      <w:pPr>
        <w:jc w:val="center"/>
        <w:outlineLvl w:val="0"/>
        <w:rPr>
          <w:rFonts w:ascii="Arial" w:hAnsi="Arial" w:cs="Arial"/>
          <w:b/>
          <w:sz w:val="36"/>
          <w:szCs w:val="36"/>
        </w:rPr>
      </w:pPr>
    </w:p>
    <w:p w14:paraId="615825E1" w14:textId="77777777" w:rsidR="007F43F0" w:rsidRPr="0020162B" w:rsidRDefault="007F43F0" w:rsidP="007F43F0">
      <w:pPr>
        <w:jc w:val="center"/>
        <w:outlineLvl w:val="0"/>
        <w:rPr>
          <w:rFonts w:ascii="Arial" w:hAnsi="Arial" w:cs="Arial"/>
          <w:b/>
          <w:sz w:val="22"/>
          <w:szCs w:val="22"/>
          <w:lang w:eastAsia="ja-JP"/>
        </w:rPr>
      </w:pPr>
    </w:p>
    <w:p w14:paraId="58671479" w14:textId="77777777" w:rsidR="0045213A" w:rsidRDefault="007F43F0" w:rsidP="007F43F0">
      <w:pPr>
        <w:jc w:val="center"/>
        <w:outlineLvl w:val="0"/>
        <w:rPr>
          <w:rFonts w:ascii="Arial" w:hAnsi="Arial" w:cs="Arial"/>
          <w:b/>
          <w:sz w:val="28"/>
          <w:szCs w:val="28"/>
          <w:lang w:eastAsia="ja-JP"/>
        </w:rPr>
      </w:pPr>
      <w:r>
        <w:rPr>
          <w:rFonts w:ascii="Arial" w:hAnsi="Arial" w:cs="Arial"/>
          <w:b/>
          <w:sz w:val="28"/>
          <w:szCs w:val="28"/>
          <w:lang w:eastAsia="ja-JP"/>
        </w:rPr>
        <w:t>C</w:t>
      </w:r>
      <w:r w:rsidRPr="006439F7">
        <w:rPr>
          <w:rFonts w:ascii="Arial" w:hAnsi="Arial" w:cs="Arial"/>
          <w:b/>
          <w:sz w:val="28"/>
          <w:szCs w:val="28"/>
          <w:lang w:eastAsia="ja-JP"/>
        </w:rPr>
        <w:t xml:space="preserve">all for applications for </w:t>
      </w:r>
    </w:p>
    <w:p w14:paraId="0DB206B4" w14:textId="333205F5" w:rsidR="007F43F0" w:rsidRPr="006439F7" w:rsidRDefault="0045213A" w:rsidP="007F43F0">
      <w:pPr>
        <w:jc w:val="center"/>
        <w:outlineLvl w:val="0"/>
        <w:rPr>
          <w:rFonts w:ascii="Arial" w:hAnsi="Arial" w:cs="Arial"/>
          <w:b/>
          <w:sz w:val="28"/>
          <w:szCs w:val="28"/>
          <w:lang w:eastAsia="ja-JP"/>
        </w:rPr>
      </w:pPr>
      <w:r>
        <w:rPr>
          <w:rFonts w:ascii="Arial" w:hAnsi="Arial" w:cs="Arial"/>
          <w:b/>
          <w:sz w:val="28"/>
          <w:szCs w:val="28"/>
          <w:lang w:eastAsia="ja-JP"/>
        </w:rPr>
        <w:t>‘</w:t>
      </w:r>
      <w:r w:rsidR="00CF4E7D" w:rsidRPr="00CF4E7D">
        <w:rPr>
          <w:rFonts w:ascii="Arial" w:hAnsi="Arial" w:cs="Arial"/>
          <w:b/>
          <w:sz w:val="28"/>
          <w:szCs w:val="28"/>
          <w:lang w:eastAsia="ja-JP"/>
        </w:rPr>
        <w:t xml:space="preserve">MWC </w:t>
      </w:r>
      <w:r w:rsidR="003016AA">
        <w:rPr>
          <w:rFonts w:ascii="Arial" w:hAnsi="Arial" w:cs="Arial"/>
          <w:b/>
          <w:sz w:val="28"/>
          <w:szCs w:val="28"/>
          <w:lang w:eastAsia="ja-JP"/>
        </w:rPr>
        <w:t>Cancer Theme</w:t>
      </w:r>
      <w:r w:rsidR="00F92DC6">
        <w:rPr>
          <w:rFonts w:ascii="Arial" w:hAnsi="Arial" w:cs="Arial"/>
          <w:b/>
          <w:sz w:val="28"/>
          <w:szCs w:val="28"/>
          <w:lang w:eastAsia="ja-JP"/>
        </w:rPr>
        <w:t xml:space="preserve"> Research</w:t>
      </w:r>
      <w:r w:rsidR="00CF4E7D" w:rsidRPr="00CF4E7D">
        <w:rPr>
          <w:rFonts w:ascii="Arial" w:hAnsi="Arial" w:cs="Arial"/>
          <w:b/>
          <w:sz w:val="28"/>
          <w:szCs w:val="28"/>
          <w:lang w:eastAsia="ja-JP"/>
        </w:rPr>
        <w:t xml:space="preserve"> Project</w:t>
      </w:r>
      <w:r w:rsidR="004F4F1A">
        <w:rPr>
          <w:rFonts w:ascii="Arial" w:hAnsi="Arial" w:cs="Arial"/>
          <w:b/>
          <w:sz w:val="28"/>
          <w:szCs w:val="28"/>
          <w:lang w:eastAsia="ja-JP"/>
        </w:rPr>
        <w:t>s</w:t>
      </w:r>
      <w:r w:rsidR="00CF4E7D" w:rsidRPr="00CF4E7D">
        <w:rPr>
          <w:rFonts w:ascii="Arial" w:hAnsi="Arial" w:cs="Arial"/>
          <w:b/>
          <w:sz w:val="28"/>
          <w:szCs w:val="28"/>
          <w:lang w:eastAsia="ja-JP"/>
        </w:rPr>
        <w:t>’</w:t>
      </w:r>
    </w:p>
    <w:p w14:paraId="01B7D254" w14:textId="77777777" w:rsidR="007F43F0" w:rsidRDefault="007F43F0" w:rsidP="007F43F0">
      <w:pPr>
        <w:jc w:val="center"/>
        <w:outlineLvl w:val="0"/>
        <w:rPr>
          <w:rFonts w:ascii="Arial" w:hAnsi="Arial" w:cs="Arial"/>
          <w:b/>
          <w:sz w:val="28"/>
          <w:szCs w:val="28"/>
          <w:lang w:eastAsia="ja-JP"/>
        </w:rPr>
      </w:pPr>
    </w:p>
    <w:p w14:paraId="503C4DB3" w14:textId="53552FF7" w:rsidR="00BA6C89" w:rsidRPr="00742585" w:rsidRDefault="00BA6C89" w:rsidP="00BA6C89">
      <w:pPr>
        <w:jc w:val="center"/>
        <w:outlineLvl w:val="0"/>
        <w:rPr>
          <w:rFonts w:ascii="Arial" w:hAnsi="Arial" w:cs="Arial"/>
          <w:b/>
          <w:color w:val="0070C0"/>
          <w:sz w:val="28"/>
          <w:szCs w:val="28"/>
          <w:lang w:eastAsia="ja-JP"/>
        </w:rPr>
      </w:pPr>
      <w:r w:rsidRPr="00742585">
        <w:rPr>
          <w:rFonts w:ascii="Arial" w:hAnsi="Arial" w:cs="Arial"/>
          <w:b/>
          <w:color w:val="0070C0"/>
          <w:sz w:val="28"/>
          <w:szCs w:val="28"/>
          <w:lang w:eastAsia="ja-JP"/>
        </w:rPr>
        <w:t xml:space="preserve">Closing date </w:t>
      </w:r>
      <w:r w:rsidR="00742585" w:rsidRPr="00742585">
        <w:rPr>
          <w:rFonts w:ascii="Arial" w:hAnsi="Arial" w:cs="Arial"/>
          <w:b/>
          <w:color w:val="0070C0"/>
          <w:sz w:val="28"/>
          <w:szCs w:val="28"/>
          <w:lang w:eastAsia="ja-JP"/>
        </w:rPr>
        <w:t>12</w:t>
      </w:r>
      <w:r w:rsidR="00574346">
        <w:rPr>
          <w:rFonts w:ascii="Arial" w:hAnsi="Arial" w:cs="Arial"/>
          <w:b/>
          <w:color w:val="0070C0"/>
          <w:sz w:val="28"/>
          <w:szCs w:val="28"/>
          <w:lang w:eastAsia="ja-JP"/>
        </w:rPr>
        <w:t xml:space="preserve">:00 </w:t>
      </w:r>
      <w:r w:rsidRPr="00742585">
        <w:rPr>
          <w:rFonts w:ascii="Arial" w:hAnsi="Arial" w:cs="Arial"/>
          <w:b/>
          <w:color w:val="0070C0"/>
          <w:sz w:val="28"/>
          <w:szCs w:val="28"/>
          <w:lang w:eastAsia="ja-JP"/>
        </w:rPr>
        <w:t xml:space="preserve">pm, </w:t>
      </w:r>
      <w:r w:rsidR="007167EB">
        <w:rPr>
          <w:rFonts w:ascii="Arial" w:hAnsi="Arial" w:cs="Arial"/>
          <w:b/>
          <w:color w:val="0070C0"/>
          <w:sz w:val="28"/>
          <w:szCs w:val="28"/>
          <w:lang w:eastAsia="ja-JP"/>
        </w:rPr>
        <w:t>Monday 13</w:t>
      </w:r>
      <w:r w:rsidR="007167EB" w:rsidRPr="00AF121A">
        <w:rPr>
          <w:rFonts w:ascii="Arial" w:hAnsi="Arial" w:cs="Arial"/>
          <w:b/>
          <w:color w:val="0070C0"/>
          <w:sz w:val="28"/>
          <w:szCs w:val="28"/>
          <w:vertAlign w:val="superscript"/>
          <w:lang w:eastAsia="ja-JP"/>
        </w:rPr>
        <w:t>th</w:t>
      </w:r>
      <w:r w:rsidR="007167EB">
        <w:rPr>
          <w:rFonts w:ascii="Arial" w:hAnsi="Arial" w:cs="Arial"/>
          <w:b/>
          <w:color w:val="0070C0"/>
          <w:sz w:val="28"/>
          <w:szCs w:val="28"/>
          <w:lang w:eastAsia="ja-JP"/>
        </w:rPr>
        <w:t xml:space="preserve"> October </w:t>
      </w:r>
      <w:r w:rsidRPr="00742585">
        <w:rPr>
          <w:rFonts w:ascii="Arial" w:hAnsi="Arial" w:cs="Arial"/>
          <w:b/>
          <w:color w:val="0070C0"/>
          <w:sz w:val="28"/>
          <w:szCs w:val="28"/>
          <w:lang w:eastAsia="ja-JP"/>
        </w:rPr>
        <w:t>202</w:t>
      </w:r>
      <w:r w:rsidR="00C5498E">
        <w:rPr>
          <w:rFonts w:ascii="Arial" w:hAnsi="Arial" w:cs="Arial"/>
          <w:b/>
          <w:color w:val="0070C0"/>
          <w:sz w:val="28"/>
          <w:szCs w:val="28"/>
          <w:lang w:eastAsia="ja-JP"/>
        </w:rPr>
        <w:t>5</w:t>
      </w:r>
    </w:p>
    <w:p w14:paraId="720C23A4" w14:textId="77777777" w:rsidR="007F43F0" w:rsidRPr="006439F7" w:rsidRDefault="007F43F0" w:rsidP="007F43F0">
      <w:pPr>
        <w:jc w:val="center"/>
        <w:outlineLvl w:val="0"/>
        <w:rPr>
          <w:rFonts w:ascii="Arial" w:hAnsi="Arial" w:cs="Arial"/>
          <w:b/>
          <w:sz w:val="28"/>
          <w:szCs w:val="28"/>
          <w:lang w:eastAsia="ja-JP"/>
        </w:rPr>
      </w:pPr>
    </w:p>
    <w:p w14:paraId="56C051D0" w14:textId="46DAA7BF" w:rsidR="007F43F0" w:rsidRDefault="007F43F0" w:rsidP="007F43F0">
      <w:pPr>
        <w:rPr>
          <w:rFonts w:ascii="Arial" w:hAnsi="Arial" w:cs="Arial"/>
          <w:sz w:val="22"/>
          <w:szCs w:val="22"/>
          <w:lang w:val="en-NZ"/>
        </w:rPr>
      </w:pPr>
      <w:r>
        <w:rPr>
          <w:rFonts w:ascii="Arial" w:hAnsi="Arial" w:cs="Arial"/>
          <w:b/>
          <w:sz w:val="22"/>
          <w:szCs w:val="22"/>
          <w:lang w:val="en-NZ"/>
        </w:rPr>
        <w:t xml:space="preserve">The MWC invites </w:t>
      </w:r>
      <w:r>
        <w:rPr>
          <w:rFonts w:ascii="Arial" w:hAnsi="Arial" w:cs="Arial"/>
          <w:sz w:val="22"/>
          <w:szCs w:val="22"/>
          <w:lang w:val="en-NZ"/>
        </w:rPr>
        <w:t>principal</w:t>
      </w:r>
      <w:r w:rsidR="004615AF">
        <w:rPr>
          <w:rFonts w:ascii="Arial" w:hAnsi="Arial" w:cs="Arial"/>
          <w:sz w:val="22"/>
          <w:szCs w:val="22"/>
          <w:lang w:val="en-NZ"/>
        </w:rPr>
        <w:t xml:space="preserve">, </w:t>
      </w:r>
      <w:r>
        <w:rPr>
          <w:rFonts w:ascii="Arial" w:hAnsi="Arial" w:cs="Arial"/>
          <w:sz w:val="22"/>
          <w:szCs w:val="22"/>
          <w:lang w:val="en-NZ"/>
        </w:rPr>
        <w:t>associate</w:t>
      </w:r>
      <w:r w:rsidR="00F042D6">
        <w:rPr>
          <w:rFonts w:ascii="Arial" w:hAnsi="Arial" w:cs="Arial"/>
          <w:sz w:val="22"/>
          <w:szCs w:val="22"/>
          <w:lang w:val="en-NZ"/>
        </w:rPr>
        <w:t xml:space="preserve"> and</w:t>
      </w:r>
      <w:r w:rsidR="004615AF">
        <w:rPr>
          <w:rFonts w:ascii="Arial" w:hAnsi="Arial" w:cs="Arial"/>
          <w:sz w:val="22"/>
          <w:szCs w:val="22"/>
          <w:lang w:val="en-NZ"/>
        </w:rPr>
        <w:t xml:space="preserve"> clinical associate</w:t>
      </w:r>
      <w:r w:rsidR="0045213A">
        <w:rPr>
          <w:rFonts w:ascii="Arial" w:hAnsi="Arial" w:cs="Arial"/>
          <w:sz w:val="22"/>
          <w:szCs w:val="22"/>
          <w:lang w:val="en-NZ"/>
        </w:rPr>
        <w:t xml:space="preserve"> </w:t>
      </w:r>
      <w:r>
        <w:rPr>
          <w:rFonts w:ascii="Arial" w:hAnsi="Arial" w:cs="Arial"/>
          <w:sz w:val="22"/>
          <w:szCs w:val="22"/>
          <w:lang w:val="en-NZ"/>
        </w:rPr>
        <w:t>investigators</w:t>
      </w:r>
      <w:r w:rsidR="004615AF">
        <w:rPr>
          <w:rFonts w:ascii="Arial" w:hAnsi="Arial" w:cs="Arial"/>
          <w:sz w:val="22"/>
          <w:szCs w:val="22"/>
          <w:lang w:val="en-NZ"/>
        </w:rPr>
        <w:t xml:space="preserve"> (research active and </w:t>
      </w:r>
      <w:r w:rsidR="004615AF" w:rsidRPr="004615AF">
        <w:rPr>
          <w:rFonts w:ascii="Arial" w:hAnsi="Arial" w:cs="Arial"/>
          <w:sz w:val="22"/>
          <w:szCs w:val="22"/>
          <w:lang w:val="en-NZ"/>
        </w:rPr>
        <w:t xml:space="preserve">at </w:t>
      </w:r>
      <w:r w:rsidR="004615AF">
        <w:rPr>
          <w:rFonts w:ascii="Arial" w:hAnsi="Arial" w:cs="Arial"/>
          <w:sz w:val="22"/>
          <w:szCs w:val="22"/>
          <w:lang w:val="en-NZ"/>
        </w:rPr>
        <w:t xml:space="preserve">a </w:t>
      </w:r>
      <w:r w:rsidR="004615AF" w:rsidRPr="004615AF">
        <w:rPr>
          <w:rFonts w:ascii="Arial" w:hAnsi="Arial" w:cs="Arial"/>
          <w:sz w:val="22"/>
          <w:szCs w:val="22"/>
          <w:lang w:val="en-NZ"/>
        </w:rPr>
        <w:t>post-doctoral level</w:t>
      </w:r>
      <w:r>
        <w:rPr>
          <w:rFonts w:ascii="Arial" w:hAnsi="Arial" w:cs="Arial"/>
          <w:sz w:val="22"/>
          <w:szCs w:val="22"/>
          <w:lang w:val="en-NZ"/>
        </w:rPr>
        <w:t xml:space="preserve"> </w:t>
      </w:r>
      <w:r w:rsidR="004615AF">
        <w:rPr>
          <w:rFonts w:ascii="Arial" w:hAnsi="Arial" w:cs="Arial"/>
          <w:sz w:val="22"/>
          <w:szCs w:val="22"/>
          <w:lang w:val="en-NZ"/>
        </w:rPr>
        <w:t xml:space="preserve">or above) </w:t>
      </w:r>
      <w:r>
        <w:rPr>
          <w:rFonts w:ascii="Arial" w:hAnsi="Arial" w:cs="Arial"/>
          <w:sz w:val="22"/>
          <w:szCs w:val="22"/>
          <w:lang w:val="en-NZ"/>
        </w:rPr>
        <w:t xml:space="preserve">to submit applications to the MWC </w:t>
      </w:r>
      <w:r w:rsidR="007167EB">
        <w:rPr>
          <w:rFonts w:ascii="Arial" w:hAnsi="Arial" w:cs="Arial"/>
          <w:sz w:val="22"/>
          <w:szCs w:val="22"/>
          <w:lang w:val="en-NZ"/>
        </w:rPr>
        <w:t>Cancer Theme</w:t>
      </w:r>
      <w:r>
        <w:rPr>
          <w:rFonts w:ascii="Arial" w:hAnsi="Arial" w:cs="Arial"/>
          <w:sz w:val="22"/>
          <w:szCs w:val="22"/>
          <w:lang w:val="en-NZ"/>
        </w:rPr>
        <w:t xml:space="preserve"> </w:t>
      </w:r>
      <w:r w:rsidR="0045213A">
        <w:rPr>
          <w:rFonts w:ascii="Arial" w:hAnsi="Arial" w:cs="Arial"/>
          <w:sz w:val="22"/>
          <w:szCs w:val="22"/>
          <w:lang w:val="en-NZ"/>
        </w:rPr>
        <w:t xml:space="preserve">for </w:t>
      </w:r>
      <w:r w:rsidR="0045213A" w:rsidRPr="00A948C4">
        <w:rPr>
          <w:rFonts w:ascii="Arial" w:hAnsi="Arial" w:cs="Arial"/>
          <w:b/>
          <w:bCs/>
          <w:sz w:val="22"/>
          <w:szCs w:val="22"/>
          <w:lang w:val="en-NZ"/>
        </w:rPr>
        <w:t>‘</w:t>
      </w:r>
      <w:r w:rsidR="00A948C4">
        <w:rPr>
          <w:rFonts w:ascii="Arial" w:hAnsi="Arial" w:cs="Arial"/>
          <w:b/>
          <w:bCs/>
          <w:sz w:val="22"/>
          <w:szCs w:val="22"/>
          <w:lang w:val="en-NZ"/>
        </w:rPr>
        <w:t xml:space="preserve">MWC </w:t>
      </w:r>
      <w:r w:rsidR="007167EB">
        <w:rPr>
          <w:rFonts w:ascii="Arial" w:hAnsi="Arial" w:cs="Arial"/>
          <w:b/>
          <w:bCs/>
          <w:sz w:val="22"/>
          <w:szCs w:val="22"/>
          <w:lang w:val="en-NZ"/>
        </w:rPr>
        <w:t xml:space="preserve">Cancer Theme </w:t>
      </w:r>
      <w:r w:rsidR="00A948C4">
        <w:rPr>
          <w:rFonts w:ascii="Arial" w:hAnsi="Arial" w:cs="Arial"/>
          <w:b/>
          <w:bCs/>
          <w:sz w:val="22"/>
          <w:szCs w:val="22"/>
          <w:lang w:val="en-NZ"/>
        </w:rPr>
        <w:t>Research Project</w:t>
      </w:r>
      <w:r w:rsidR="004F4F1A">
        <w:rPr>
          <w:rFonts w:ascii="Arial" w:hAnsi="Arial" w:cs="Arial"/>
          <w:b/>
          <w:bCs/>
          <w:sz w:val="22"/>
          <w:szCs w:val="22"/>
          <w:lang w:val="en-NZ"/>
        </w:rPr>
        <w:t>s</w:t>
      </w:r>
      <w:r w:rsidR="00A948C4">
        <w:rPr>
          <w:rFonts w:ascii="Arial" w:hAnsi="Arial" w:cs="Arial"/>
          <w:b/>
          <w:bCs/>
          <w:sz w:val="22"/>
          <w:szCs w:val="22"/>
          <w:lang w:val="en-NZ"/>
        </w:rPr>
        <w:t>’</w:t>
      </w:r>
      <w:r w:rsidR="0045213A">
        <w:rPr>
          <w:rFonts w:ascii="Arial" w:hAnsi="Arial" w:cs="Arial"/>
          <w:sz w:val="22"/>
          <w:szCs w:val="22"/>
          <w:lang w:val="en-NZ"/>
        </w:rPr>
        <w:t>.</w:t>
      </w:r>
    </w:p>
    <w:p w14:paraId="402C7FC6" w14:textId="77777777" w:rsidR="0045213A" w:rsidRDefault="0045213A" w:rsidP="007F43F0">
      <w:pPr>
        <w:rPr>
          <w:rFonts w:ascii="Arial" w:hAnsi="Arial" w:cs="Arial"/>
          <w:sz w:val="22"/>
          <w:szCs w:val="22"/>
          <w:lang w:val="en-NZ"/>
        </w:rPr>
      </w:pPr>
    </w:p>
    <w:p w14:paraId="0AF032BA" w14:textId="7D646CC7" w:rsidR="00A948C4" w:rsidRDefault="007167EB" w:rsidP="00A948C4">
      <w:pPr>
        <w:pStyle w:val="Arialnormal"/>
      </w:pPr>
      <w:r>
        <w:t xml:space="preserve">Purpose: </w:t>
      </w:r>
      <w:r w:rsidR="00A948C4" w:rsidRPr="002062AB">
        <w:t xml:space="preserve">To provide funding for </w:t>
      </w:r>
      <w:r w:rsidR="00A948C4">
        <w:t xml:space="preserve">innovative, </w:t>
      </w:r>
      <w:r w:rsidR="00A948C4" w:rsidRPr="002062AB">
        <w:t>interdisciplinary projects that will also promote progress in scientific areas of importance to the MWC</w:t>
      </w:r>
      <w:r>
        <w:t xml:space="preserve"> Cancer Theme</w:t>
      </w:r>
      <w:r w:rsidR="00A948C4" w:rsidRPr="002062AB">
        <w:t>.</w:t>
      </w:r>
    </w:p>
    <w:p w14:paraId="3BD6BE3F" w14:textId="4A415B57" w:rsidR="00A948C4" w:rsidRDefault="00A948C4" w:rsidP="00A948C4">
      <w:pPr>
        <w:pStyle w:val="Arialnormal"/>
      </w:pPr>
      <w:r>
        <w:t>Applicants can apply for working expenses and/or costs for equipment/facilities</w:t>
      </w:r>
      <w:r w:rsidR="007167EB">
        <w:t xml:space="preserve"> and/or salary support</w:t>
      </w:r>
      <w:r>
        <w:t xml:space="preserve"> </w:t>
      </w:r>
      <w:r w:rsidR="00272583">
        <w:t xml:space="preserve">as detailed in the budget guidelines as ‘eligible costs.’ </w:t>
      </w:r>
    </w:p>
    <w:p w14:paraId="7508CF4C" w14:textId="77777777" w:rsidR="007F43F0" w:rsidRDefault="007F43F0" w:rsidP="007F43F0">
      <w:pPr>
        <w:rPr>
          <w:rFonts w:ascii="Arial" w:hAnsi="Arial" w:cs="Arial"/>
          <w:sz w:val="22"/>
          <w:szCs w:val="22"/>
        </w:rPr>
      </w:pPr>
    </w:p>
    <w:p w14:paraId="6E057EC2" w14:textId="345701F8" w:rsidR="007F43F0" w:rsidRDefault="004F4F1A" w:rsidP="007F43F0">
      <w:pPr>
        <w:rPr>
          <w:rFonts w:ascii="Arial" w:eastAsia="Arial" w:hAnsi="Arial" w:cs="Arial"/>
          <w:sz w:val="22"/>
          <w:szCs w:val="22"/>
        </w:rPr>
      </w:pPr>
      <w:r w:rsidRPr="458286B1">
        <w:rPr>
          <w:rFonts w:ascii="Arial" w:hAnsi="Arial" w:cs="Arial"/>
          <w:b/>
          <w:bCs/>
          <w:sz w:val="22"/>
          <w:szCs w:val="22"/>
        </w:rPr>
        <w:t>The Cancer Theme Research Programme</w:t>
      </w:r>
      <w:r w:rsidRPr="458286B1">
        <w:rPr>
          <w:rFonts w:ascii="Arial" w:hAnsi="Arial" w:cs="Arial"/>
          <w:sz w:val="22"/>
          <w:szCs w:val="22"/>
        </w:rPr>
        <w:t xml:space="preserve"> enables MWC investigators to extend</w:t>
      </w:r>
      <w:r>
        <w:rPr>
          <w:rFonts w:ascii="Arial" w:hAnsi="Arial" w:cs="Arial"/>
          <w:sz w:val="22"/>
          <w:szCs w:val="22"/>
        </w:rPr>
        <w:t xml:space="preserve"> and expand</w:t>
      </w:r>
      <w:r w:rsidRPr="458286B1">
        <w:rPr>
          <w:rFonts w:ascii="Arial" w:hAnsi="Arial" w:cs="Arial"/>
          <w:sz w:val="22"/>
          <w:szCs w:val="22"/>
        </w:rPr>
        <w:t xml:space="preserve"> previous MWC funded projects, pursue new ideas</w:t>
      </w:r>
      <w:r>
        <w:rPr>
          <w:rFonts w:ascii="Arial" w:hAnsi="Arial" w:cs="Arial"/>
          <w:sz w:val="22"/>
          <w:szCs w:val="22"/>
        </w:rPr>
        <w:t>,</w:t>
      </w:r>
      <w:r w:rsidRPr="458286B1">
        <w:rPr>
          <w:rFonts w:ascii="Arial" w:hAnsi="Arial" w:cs="Arial"/>
          <w:sz w:val="22"/>
          <w:szCs w:val="22"/>
        </w:rPr>
        <w:t xml:space="preserve"> and drive translational impact within and across the Centre’s </w:t>
      </w:r>
      <w:r w:rsidR="009B0E24">
        <w:rPr>
          <w:rFonts w:ascii="Arial" w:hAnsi="Arial" w:cs="Arial"/>
          <w:sz w:val="22"/>
          <w:szCs w:val="22"/>
        </w:rPr>
        <w:t>themes</w:t>
      </w:r>
      <w:r w:rsidRPr="458286B1">
        <w:rPr>
          <w:rFonts w:ascii="Arial" w:hAnsi="Arial" w:cs="Arial"/>
          <w:sz w:val="22"/>
          <w:szCs w:val="22"/>
        </w:rPr>
        <w:t xml:space="preserve">, building links across the Centre’s network, especially between institutions. </w:t>
      </w:r>
      <w:r w:rsidRPr="458286B1">
        <w:rPr>
          <w:rFonts w:ascii="Arial" w:eastAsia="Arial" w:hAnsi="Arial" w:cs="Arial"/>
          <w:sz w:val="22"/>
          <w:szCs w:val="22"/>
        </w:rPr>
        <w:t>Funding is allocated competitively to enable investigators to capitalize on emerging opportunities while strengthening institutional and cross-</w:t>
      </w:r>
      <w:r w:rsidR="009B0E24">
        <w:rPr>
          <w:rFonts w:ascii="Arial" w:eastAsia="Arial" w:hAnsi="Arial" w:cs="Arial"/>
          <w:sz w:val="22"/>
          <w:szCs w:val="22"/>
        </w:rPr>
        <w:t>theme</w:t>
      </w:r>
      <w:r w:rsidRPr="458286B1">
        <w:rPr>
          <w:rFonts w:ascii="Arial" w:eastAsia="Arial" w:hAnsi="Arial" w:cs="Arial"/>
          <w:sz w:val="22"/>
          <w:szCs w:val="22"/>
        </w:rPr>
        <w:t xml:space="preserve"> links</w:t>
      </w:r>
      <w:r>
        <w:rPr>
          <w:rFonts w:ascii="Arial" w:eastAsia="Arial" w:hAnsi="Arial" w:cs="Arial"/>
          <w:sz w:val="22"/>
          <w:szCs w:val="22"/>
        </w:rPr>
        <w:t>.</w:t>
      </w:r>
    </w:p>
    <w:p w14:paraId="11037E60" w14:textId="77777777" w:rsidR="004520FC" w:rsidRDefault="004520FC" w:rsidP="007F43F0">
      <w:pPr>
        <w:rPr>
          <w:rFonts w:ascii="Arial" w:eastAsia="Arial" w:hAnsi="Arial" w:cs="Arial"/>
          <w:sz w:val="22"/>
          <w:szCs w:val="22"/>
        </w:rPr>
      </w:pPr>
    </w:p>
    <w:p w14:paraId="6DED385A" w14:textId="13C818DF" w:rsidR="004520FC" w:rsidRPr="004E77AE" w:rsidRDefault="004520FC" w:rsidP="004520FC">
      <w:pPr>
        <w:pStyle w:val="Arialnormal"/>
      </w:pPr>
      <w:r w:rsidRPr="004E77AE">
        <w:rPr>
          <w:b/>
          <w:bCs/>
        </w:rPr>
        <w:t>Funding available</w:t>
      </w:r>
      <w:r w:rsidRPr="004E77AE">
        <w:t>: Approximately $3,000,000 is available in this round from the Cancer Theme budget. Two to three large projects ($200,000+ per year for up to 2.5 years) will be funded, while the remainder of the budget will be allocated to medium-sized projects ($50-100,000 per year for up to 2.5 years</w:t>
      </w:r>
      <w:r w:rsidR="004E77AE">
        <w:t>). A</w:t>
      </w:r>
      <w:r w:rsidR="004E77AE" w:rsidRPr="004E77AE">
        <w:t xml:space="preserve"> proportion of funding is reserved for projects that specifically address Māori or Pacific health</w:t>
      </w:r>
      <w:r w:rsidRPr="004E77AE">
        <w:t>. Projects under $50,000 are encouraged to apply for the Flexible Funding Rounds instead.</w:t>
      </w:r>
    </w:p>
    <w:p w14:paraId="78453C17" w14:textId="77777777" w:rsidR="00C5498E" w:rsidRPr="004E77AE" w:rsidRDefault="00C5498E" w:rsidP="007F43F0">
      <w:pPr>
        <w:rPr>
          <w:rFonts w:ascii="Arial" w:hAnsi="Arial" w:cs="Arial"/>
          <w:sz w:val="22"/>
          <w:szCs w:val="22"/>
        </w:rPr>
      </w:pPr>
    </w:p>
    <w:p w14:paraId="1B39AF9C" w14:textId="1B8472F7" w:rsidR="007F43F0" w:rsidRDefault="004520FC" w:rsidP="007F43F0">
      <w:pPr>
        <w:rPr>
          <w:rFonts w:ascii="Arial" w:hAnsi="Arial" w:cs="Arial"/>
          <w:sz w:val="22"/>
          <w:szCs w:val="22"/>
        </w:rPr>
      </w:pPr>
      <w:r w:rsidRPr="004E77AE">
        <w:rPr>
          <w:rFonts w:ascii="Arial" w:hAnsi="Arial" w:cs="Arial"/>
          <w:sz w:val="22"/>
          <w:szCs w:val="22"/>
        </w:rPr>
        <w:t>Projects should align with the Cancer Theme’s milestones and goals as described in t</w:t>
      </w:r>
      <w:r w:rsidR="007F43F0" w:rsidRPr="004E77AE">
        <w:rPr>
          <w:rFonts w:ascii="Arial" w:hAnsi="Arial" w:cs="Arial"/>
          <w:sz w:val="22"/>
          <w:szCs w:val="22"/>
        </w:rPr>
        <w:t xml:space="preserve">he </w:t>
      </w:r>
      <w:r w:rsidR="0045213A" w:rsidRPr="004E77AE">
        <w:rPr>
          <w:rFonts w:ascii="Arial" w:hAnsi="Arial" w:cs="Arial"/>
          <w:sz w:val="22"/>
          <w:szCs w:val="22"/>
        </w:rPr>
        <w:t>2025-2028</w:t>
      </w:r>
      <w:r w:rsidR="00675BD8" w:rsidRPr="004E77AE">
        <w:rPr>
          <w:rFonts w:ascii="Arial" w:hAnsi="Arial" w:cs="Arial"/>
          <w:sz w:val="22"/>
          <w:szCs w:val="22"/>
        </w:rPr>
        <w:t xml:space="preserve"> </w:t>
      </w:r>
      <w:r w:rsidR="0045213A" w:rsidRPr="004E77AE">
        <w:rPr>
          <w:rFonts w:ascii="Arial" w:hAnsi="Arial" w:cs="Arial"/>
          <w:sz w:val="22"/>
          <w:szCs w:val="22"/>
        </w:rPr>
        <w:t xml:space="preserve">MWC </w:t>
      </w:r>
      <w:r w:rsidR="00675BD8" w:rsidRPr="004E77AE">
        <w:rPr>
          <w:rFonts w:ascii="Arial" w:hAnsi="Arial" w:cs="Arial"/>
          <w:sz w:val="22"/>
          <w:szCs w:val="22"/>
        </w:rPr>
        <w:t>impact</w:t>
      </w:r>
      <w:r w:rsidR="007F43F0" w:rsidRPr="004E77AE">
        <w:rPr>
          <w:rFonts w:ascii="Arial" w:hAnsi="Arial" w:cs="Arial"/>
          <w:sz w:val="22"/>
          <w:szCs w:val="22"/>
        </w:rPr>
        <w:t xml:space="preserve"> statement and</w:t>
      </w:r>
      <w:r w:rsidR="00871E7C" w:rsidRPr="004E77AE">
        <w:rPr>
          <w:rFonts w:ascii="Arial" w:hAnsi="Arial" w:cs="Arial"/>
          <w:sz w:val="22"/>
          <w:szCs w:val="22"/>
        </w:rPr>
        <w:t xml:space="preserve"> Cancer</w:t>
      </w:r>
      <w:r w:rsidR="007F43F0" w:rsidRPr="004E77AE">
        <w:rPr>
          <w:rFonts w:ascii="Arial" w:hAnsi="Arial" w:cs="Arial"/>
          <w:sz w:val="22"/>
          <w:szCs w:val="22"/>
        </w:rPr>
        <w:t xml:space="preserve"> </w:t>
      </w:r>
      <w:r w:rsidR="00871E7C" w:rsidRPr="004E77AE">
        <w:rPr>
          <w:rFonts w:ascii="Arial" w:hAnsi="Arial" w:cs="Arial"/>
          <w:sz w:val="22"/>
          <w:szCs w:val="22"/>
        </w:rPr>
        <w:t>T</w:t>
      </w:r>
      <w:r w:rsidR="007F43F0" w:rsidRPr="004E77AE">
        <w:rPr>
          <w:rFonts w:ascii="Arial" w:hAnsi="Arial" w:cs="Arial"/>
          <w:sz w:val="22"/>
          <w:szCs w:val="22"/>
        </w:rPr>
        <w:t xml:space="preserve">heme </w:t>
      </w:r>
      <w:r w:rsidR="00871E7C" w:rsidRPr="004E77AE">
        <w:rPr>
          <w:rFonts w:ascii="Arial" w:hAnsi="Arial" w:cs="Arial"/>
          <w:sz w:val="22"/>
          <w:szCs w:val="22"/>
        </w:rPr>
        <w:t>research plan a</w:t>
      </w:r>
      <w:r w:rsidRPr="004E77AE">
        <w:rPr>
          <w:rFonts w:ascii="Arial" w:hAnsi="Arial" w:cs="Arial"/>
          <w:sz w:val="22"/>
          <w:szCs w:val="22"/>
        </w:rPr>
        <w:t>s</w:t>
      </w:r>
      <w:r w:rsidR="007F43F0" w:rsidRPr="004E77AE">
        <w:rPr>
          <w:rFonts w:ascii="Arial" w:hAnsi="Arial" w:cs="Arial"/>
          <w:sz w:val="22"/>
          <w:szCs w:val="22"/>
        </w:rPr>
        <w:t xml:space="preserve"> set out in </w:t>
      </w:r>
      <w:r w:rsidR="00896D83" w:rsidRPr="004E77AE">
        <w:rPr>
          <w:rFonts w:ascii="Arial" w:hAnsi="Arial" w:cs="Arial"/>
          <w:sz w:val="22"/>
          <w:szCs w:val="22"/>
        </w:rPr>
        <w:t>A</w:t>
      </w:r>
      <w:r w:rsidR="007F43F0" w:rsidRPr="004E77AE">
        <w:rPr>
          <w:rFonts w:ascii="Arial" w:hAnsi="Arial" w:cs="Arial"/>
          <w:sz w:val="22"/>
          <w:szCs w:val="22"/>
        </w:rPr>
        <w:t>ppendix 1</w:t>
      </w:r>
      <w:r w:rsidR="00DA7A87" w:rsidRPr="004E77AE">
        <w:rPr>
          <w:rFonts w:ascii="Arial" w:hAnsi="Arial" w:cs="Arial"/>
          <w:sz w:val="22"/>
          <w:szCs w:val="22"/>
        </w:rPr>
        <w:t xml:space="preserve"> (pages </w:t>
      </w:r>
      <w:r w:rsidR="00871E7C" w:rsidRPr="004E77AE">
        <w:rPr>
          <w:rFonts w:ascii="Arial" w:hAnsi="Arial" w:cs="Arial"/>
          <w:sz w:val="22"/>
          <w:szCs w:val="22"/>
        </w:rPr>
        <w:t>9-11</w:t>
      </w:r>
      <w:r w:rsidR="00DA7A87" w:rsidRPr="004E77AE">
        <w:rPr>
          <w:rFonts w:ascii="Arial" w:hAnsi="Arial" w:cs="Arial"/>
          <w:sz w:val="22"/>
          <w:szCs w:val="22"/>
        </w:rPr>
        <w:t>)</w:t>
      </w:r>
      <w:r w:rsidR="007F43F0" w:rsidRPr="004E77AE">
        <w:rPr>
          <w:rFonts w:ascii="Arial" w:hAnsi="Arial" w:cs="Arial"/>
          <w:sz w:val="22"/>
          <w:szCs w:val="22"/>
        </w:rPr>
        <w:t xml:space="preserve">, which is based on the </w:t>
      </w:r>
      <w:r w:rsidR="0045213A" w:rsidRPr="004E77AE">
        <w:rPr>
          <w:rFonts w:ascii="Arial" w:hAnsi="Arial" w:cs="Arial"/>
          <w:sz w:val="22"/>
          <w:szCs w:val="22"/>
        </w:rPr>
        <w:t>2025-2028 MWC Plan recently agreed</w:t>
      </w:r>
      <w:r w:rsidR="007F43F0" w:rsidRPr="004E77AE">
        <w:rPr>
          <w:rFonts w:ascii="Arial" w:hAnsi="Arial" w:cs="Arial"/>
          <w:sz w:val="22"/>
          <w:szCs w:val="22"/>
        </w:rPr>
        <w:t xml:space="preserve"> with the Tertiary Education Commission.</w:t>
      </w:r>
      <w:r w:rsidR="007F43F0" w:rsidRPr="00675BD8">
        <w:rPr>
          <w:rFonts w:ascii="Arial" w:hAnsi="Arial" w:cs="Arial"/>
          <w:sz w:val="22"/>
          <w:szCs w:val="22"/>
        </w:rPr>
        <w:t xml:space="preserve">  </w:t>
      </w:r>
    </w:p>
    <w:p w14:paraId="0F12BA2F" w14:textId="77777777" w:rsidR="007F43F0" w:rsidRPr="00675BD8" w:rsidRDefault="007F43F0" w:rsidP="007F43F0">
      <w:pPr>
        <w:rPr>
          <w:rFonts w:ascii="Arial" w:hAnsi="Arial" w:cs="Arial"/>
          <w:sz w:val="22"/>
          <w:szCs w:val="22"/>
          <w:highlight w:val="yellow"/>
        </w:rPr>
      </w:pPr>
    </w:p>
    <w:p w14:paraId="5C7D4DA0" w14:textId="17D65E3D" w:rsidR="007F43F0" w:rsidRPr="00675BD8" w:rsidRDefault="007F43F0" w:rsidP="007F43F0">
      <w:pPr>
        <w:rPr>
          <w:rFonts w:ascii="Arial" w:hAnsi="Arial" w:cs="Arial"/>
          <w:sz w:val="22"/>
          <w:szCs w:val="22"/>
        </w:rPr>
      </w:pPr>
      <w:r w:rsidRPr="00675BD8">
        <w:rPr>
          <w:rFonts w:ascii="Arial" w:hAnsi="Arial" w:cs="Arial"/>
          <w:sz w:val="22"/>
          <w:szCs w:val="22"/>
        </w:rPr>
        <w:t>Detailed information on</w:t>
      </w:r>
      <w:r w:rsidR="0045213A">
        <w:rPr>
          <w:rFonts w:ascii="Arial" w:hAnsi="Arial" w:cs="Arial"/>
          <w:sz w:val="22"/>
          <w:szCs w:val="22"/>
        </w:rPr>
        <w:t xml:space="preserve"> the</w:t>
      </w:r>
      <w:r w:rsidRPr="00675BD8">
        <w:rPr>
          <w:rFonts w:ascii="Arial" w:hAnsi="Arial" w:cs="Arial"/>
          <w:sz w:val="22"/>
          <w:szCs w:val="22"/>
        </w:rPr>
        <w:t xml:space="preserve"> </w:t>
      </w:r>
      <w:r w:rsidR="0045213A" w:rsidRPr="0045213A">
        <w:rPr>
          <w:rFonts w:ascii="Arial" w:hAnsi="Arial" w:cs="Arial"/>
          <w:b/>
          <w:bCs/>
          <w:sz w:val="22"/>
          <w:szCs w:val="22"/>
          <w:lang w:val="en-NZ"/>
        </w:rPr>
        <w:t>‘</w:t>
      </w:r>
      <w:r w:rsidR="00A948C4">
        <w:rPr>
          <w:rFonts w:ascii="Arial" w:hAnsi="Arial" w:cs="Arial"/>
          <w:b/>
          <w:bCs/>
          <w:sz w:val="22"/>
          <w:szCs w:val="22"/>
          <w:lang w:val="en-NZ"/>
        </w:rPr>
        <w:t xml:space="preserve">MWC </w:t>
      </w:r>
      <w:r w:rsidR="00CC5B17">
        <w:rPr>
          <w:rFonts w:ascii="Arial" w:hAnsi="Arial" w:cs="Arial"/>
          <w:b/>
          <w:bCs/>
          <w:sz w:val="22"/>
          <w:szCs w:val="22"/>
          <w:lang w:val="en-NZ"/>
        </w:rPr>
        <w:t>Cancer Theme</w:t>
      </w:r>
      <w:r w:rsidR="00F92DC6">
        <w:rPr>
          <w:rFonts w:ascii="Arial" w:hAnsi="Arial" w:cs="Arial"/>
          <w:b/>
          <w:bCs/>
          <w:sz w:val="22"/>
          <w:szCs w:val="22"/>
          <w:lang w:val="en-NZ"/>
        </w:rPr>
        <w:t xml:space="preserve"> Research</w:t>
      </w:r>
      <w:r w:rsidR="00A948C4">
        <w:rPr>
          <w:rFonts w:ascii="Arial" w:hAnsi="Arial" w:cs="Arial"/>
          <w:b/>
          <w:bCs/>
          <w:sz w:val="22"/>
          <w:szCs w:val="22"/>
          <w:lang w:val="en-NZ"/>
        </w:rPr>
        <w:t xml:space="preserve"> Project Support’ </w:t>
      </w:r>
      <w:r w:rsidR="00C5498E" w:rsidRPr="00C5498E">
        <w:rPr>
          <w:rFonts w:ascii="Arial" w:hAnsi="Arial" w:cs="Arial"/>
          <w:bCs/>
          <w:sz w:val="22"/>
          <w:szCs w:val="22"/>
        </w:rPr>
        <w:t>eligibility</w:t>
      </w:r>
      <w:r w:rsidR="00C5498E">
        <w:rPr>
          <w:rFonts w:ascii="Arial" w:hAnsi="Arial" w:cs="Arial"/>
          <w:bCs/>
          <w:sz w:val="22"/>
          <w:szCs w:val="22"/>
        </w:rPr>
        <w:t xml:space="preserve">, </w:t>
      </w:r>
      <w:r w:rsidR="0045213A">
        <w:rPr>
          <w:rFonts w:ascii="Arial" w:hAnsi="Arial" w:cs="Arial"/>
          <w:bCs/>
          <w:sz w:val="22"/>
          <w:szCs w:val="22"/>
        </w:rPr>
        <w:t>criteria</w:t>
      </w:r>
      <w:r w:rsidR="0045213A">
        <w:rPr>
          <w:rFonts w:ascii="Arial" w:hAnsi="Arial" w:cs="Arial"/>
          <w:b/>
          <w:sz w:val="22"/>
          <w:szCs w:val="22"/>
        </w:rPr>
        <w:t xml:space="preserve"> </w:t>
      </w:r>
      <w:r w:rsidRPr="00675BD8">
        <w:rPr>
          <w:rFonts w:ascii="Arial" w:hAnsi="Arial" w:cs="Arial"/>
          <w:sz w:val="22"/>
          <w:szCs w:val="22"/>
        </w:rPr>
        <w:t>and how to apply appears on the following pages of this document.</w:t>
      </w:r>
      <w:r w:rsidR="007F4944">
        <w:rPr>
          <w:rFonts w:ascii="Arial" w:hAnsi="Arial" w:cs="Arial"/>
          <w:sz w:val="22"/>
          <w:szCs w:val="22"/>
        </w:rPr>
        <w:t xml:space="preserve">  Any queries can be sent to </w:t>
      </w:r>
      <w:hyperlink r:id="rId11" w:history="1">
        <w:r w:rsidR="007F4944" w:rsidRPr="001230CD">
          <w:rPr>
            <w:rStyle w:val="Hyperlink"/>
            <w:rFonts w:ascii="Arial" w:hAnsi="Arial" w:cs="Arial"/>
            <w:sz w:val="22"/>
            <w:szCs w:val="22"/>
          </w:rPr>
          <w:t>maurice-wilkins-centre@auckland.ac.nz</w:t>
        </w:r>
      </w:hyperlink>
      <w:r w:rsidR="007F4944">
        <w:rPr>
          <w:rFonts w:ascii="Arial" w:hAnsi="Arial" w:cs="Arial"/>
          <w:sz w:val="22"/>
          <w:szCs w:val="22"/>
        </w:rPr>
        <w:t xml:space="preserve"> and one of the MWC team members will respond.</w:t>
      </w:r>
    </w:p>
    <w:p w14:paraId="4E17E7F0" w14:textId="77777777" w:rsidR="007F43F0" w:rsidRPr="00E53530" w:rsidRDefault="007F43F0" w:rsidP="007F43F0">
      <w:pPr>
        <w:rPr>
          <w:rFonts w:ascii="Arial" w:hAnsi="Arial" w:cs="Arial"/>
          <w:sz w:val="22"/>
          <w:szCs w:val="22"/>
          <w:highlight w:val="yellow"/>
          <w:lang w:val="en-NZ"/>
        </w:rPr>
      </w:pPr>
    </w:p>
    <w:p w14:paraId="622C1F4D" w14:textId="77777777" w:rsidR="00CC1873" w:rsidRDefault="00CC1873" w:rsidP="00CF4E7D">
      <w:pPr>
        <w:pStyle w:val="Arialnormal"/>
      </w:pPr>
    </w:p>
    <w:p w14:paraId="1BB40D0A" w14:textId="77777777" w:rsidR="00C5498E" w:rsidRDefault="00C5498E">
      <w:pPr>
        <w:rPr>
          <w:rFonts w:ascii="Arial" w:hAnsi="Arial" w:cs="Arial"/>
          <w:b/>
          <w:bCs/>
          <w:color w:val="000000"/>
          <w:lang w:val="en-GB"/>
        </w:rPr>
      </w:pPr>
      <w:bookmarkStart w:id="0" w:name="_Hlk102486502"/>
      <w:r>
        <w:rPr>
          <w:rFonts w:ascii="Arial" w:hAnsi="Arial" w:cs="Arial"/>
          <w:b/>
          <w:bCs/>
          <w:color w:val="000000"/>
          <w:lang w:val="en-GB"/>
        </w:rPr>
        <w:br w:type="page"/>
      </w:r>
    </w:p>
    <w:p w14:paraId="4F1D047D" w14:textId="62C0DB90" w:rsidR="009A0B89" w:rsidRPr="00C14F38" w:rsidRDefault="009A0B89" w:rsidP="0016019A">
      <w:pPr>
        <w:rPr>
          <w:rFonts w:ascii="Arial" w:eastAsia="Times New Roman" w:hAnsi="Arial" w:cs="Arial"/>
          <w:b/>
          <w:bCs/>
          <w:color w:val="000000"/>
          <w:lang w:eastAsia="en-GB"/>
        </w:rPr>
      </w:pPr>
      <w:r w:rsidRPr="00C14F38">
        <w:rPr>
          <w:rFonts w:ascii="Arial" w:hAnsi="Arial" w:cs="Arial"/>
          <w:b/>
          <w:bCs/>
          <w:color w:val="000000"/>
          <w:lang w:val="en-GB"/>
        </w:rPr>
        <w:lastRenderedPageBreak/>
        <w:t>Māori and Pacific Health Advancement</w:t>
      </w:r>
    </w:p>
    <w:p w14:paraId="27420BF3" w14:textId="77777777" w:rsidR="009A0B89" w:rsidRPr="00C14F38" w:rsidRDefault="009A0B89" w:rsidP="009A0B89">
      <w:pPr>
        <w:rPr>
          <w:rFonts w:ascii="Arial" w:eastAsia="Times New Roman" w:hAnsi="Arial" w:cs="Arial"/>
          <w:b/>
          <w:bCs/>
          <w:color w:val="000000"/>
          <w:lang w:eastAsia="en-GB"/>
        </w:rPr>
      </w:pPr>
    </w:p>
    <w:p w14:paraId="7E1EA18C" w14:textId="08F36522" w:rsidR="00C5498E" w:rsidRPr="00175A37" w:rsidRDefault="00C5498E" w:rsidP="00C5498E">
      <w:pPr>
        <w:rPr>
          <w:rFonts w:ascii="Arial" w:eastAsia="Times New Roman" w:hAnsi="Arial" w:cs="Arial"/>
          <w:color w:val="000000"/>
          <w:sz w:val="22"/>
          <w:szCs w:val="22"/>
          <w:lang w:eastAsia="en-GB"/>
        </w:rPr>
      </w:pPr>
      <w:bookmarkStart w:id="1" w:name="_Hlk116476003"/>
      <w:bookmarkEnd w:id="0"/>
      <w:r w:rsidRPr="00175A37">
        <w:rPr>
          <w:rFonts w:ascii="Arial" w:eastAsia="Times New Roman" w:hAnsi="Arial" w:cs="Arial"/>
          <w:color w:val="000000"/>
          <w:sz w:val="22"/>
          <w:szCs w:val="22"/>
          <w:lang w:eastAsia="en-GB"/>
        </w:rPr>
        <w:t>A major area of focus for MWC is improved long term health for Māori and Pacific communities.</w:t>
      </w:r>
      <w:r>
        <w:rPr>
          <w:rFonts w:ascii="Arial" w:eastAsia="Times New Roman" w:hAnsi="Arial" w:cs="Arial"/>
          <w:color w:val="000000"/>
          <w:sz w:val="22"/>
          <w:szCs w:val="22"/>
          <w:lang w:eastAsia="en-GB"/>
        </w:rPr>
        <w:t xml:space="preserve"> </w:t>
      </w:r>
      <w:r w:rsidRPr="00175A37">
        <w:rPr>
          <w:rFonts w:ascii="Arial" w:eastAsia="Times New Roman" w:hAnsi="Arial" w:cs="Arial"/>
          <w:color w:val="000000"/>
          <w:sz w:val="22"/>
          <w:szCs w:val="22"/>
          <w:lang w:eastAsia="en-GB"/>
        </w:rPr>
        <w:t xml:space="preserve"> The Centre has recently launched a Māori Engagement Strategy to guide both the Centre and its investigators in supporting Māori aspirations and advancing the impacts of health research within Māori communities.</w:t>
      </w:r>
      <w:r w:rsidR="00574346">
        <w:rPr>
          <w:rFonts w:ascii="Arial" w:eastAsia="Times New Roman" w:hAnsi="Arial" w:cs="Arial"/>
          <w:color w:val="000000"/>
          <w:sz w:val="22"/>
          <w:szCs w:val="22"/>
          <w:lang w:eastAsia="en-GB"/>
        </w:rPr>
        <w:t xml:space="preserve"> The full strategy document can be accessed at </w:t>
      </w:r>
      <w:hyperlink r:id="rId12" w:history="1">
        <w:r w:rsidR="00574346" w:rsidRPr="00155703">
          <w:rPr>
            <w:rStyle w:val="Hyperlink"/>
            <w:rFonts w:ascii="Arial" w:eastAsia="Times New Roman" w:hAnsi="Arial" w:cs="Arial"/>
            <w:sz w:val="22"/>
            <w:szCs w:val="22"/>
            <w:lang w:eastAsia="en-GB"/>
          </w:rPr>
          <w:t>https://www.mauricewilkinscentre.org/welcome/mwc-m%C4%81ori-engagement-strategy/</w:t>
        </w:r>
      </w:hyperlink>
      <w:r w:rsidR="00574346">
        <w:rPr>
          <w:rFonts w:ascii="Arial" w:eastAsia="Times New Roman" w:hAnsi="Arial" w:cs="Arial"/>
          <w:color w:val="000000"/>
          <w:sz w:val="22"/>
          <w:szCs w:val="22"/>
          <w:lang w:eastAsia="en-GB"/>
        </w:rPr>
        <w:t xml:space="preserve"> </w:t>
      </w:r>
    </w:p>
    <w:p w14:paraId="7828676D" w14:textId="77777777" w:rsidR="00C5498E" w:rsidRPr="00175A37" w:rsidRDefault="00C5498E" w:rsidP="00C5498E">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 </w:t>
      </w:r>
    </w:p>
    <w:p w14:paraId="4114AC45" w14:textId="4CA4DEA1" w:rsidR="00C5498E" w:rsidRDefault="00C5498E" w:rsidP="00C5498E">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In this funding round we have included a section in each form where we ask you to indicate how you think your research plan (1) aligns to the goals outlined in the MWC’s Māori Engagement Strategy, </w:t>
      </w:r>
      <w:r w:rsidR="00C01661">
        <w:rPr>
          <w:rFonts w:ascii="Arial" w:eastAsia="Times New Roman" w:hAnsi="Arial" w:cs="Arial"/>
          <w:color w:val="000000"/>
          <w:sz w:val="22"/>
          <w:szCs w:val="22"/>
          <w:lang w:eastAsia="en-GB"/>
        </w:rPr>
        <w:t xml:space="preserve">and </w:t>
      </w:r>
      <w:r w:rsidRPr="00175A37">
        <w:rPr>
          <w:rFonts w:ascii="Arial" w:eastAsia="Times New Roman" w:hAnsi="Arial" w:cs="Arial"/>
          <w:color w:val="000000"/>
          <w:sz w:val="22"/>
          <w:szCs w:val="22"/>
          <w:lang w:eastAsia="en-GB"/>
        </w:rPr>
        <w:t xml:space="preserve">(2)  provide a categorisation of the research according to the definitions provided in the MWC Māori Engagement Strategy and a further section where you can describe any additional ways you are conducting your research in a way that contributes to the advancement of Māori and/or Pacific Peoples. </w:t>
      </w:r>
    </w:p>
    <w:p w14:paraId="5121ADA7" w14:textId="77777777" w:rsidR="00C5498E" w:rsidRPr="00175A37" w:rsidRDefault="00C5498E" w:rsidP="00C5498E">
      <w:pPr>
        <w:rPr>
          <w:rFonts w:ascii="Arial" w:eastAsia="Times New Roman" w:hAnsi="Arial" w:cs="Arial"/>
          <w:color w:val="000000"/>
          <w:sz w:val="22"/>
          <w:szCs w:val="22"/>
          <w:lang w:eastAsia="en-GB"/>
        </w:rPr>
      </w:pPr>
    </w:p>
    <w:p w14:paraId="140FD0AA" w14:textId="23C54442" w:rsidR="00C5498E" w:rsidRPr="00175A37" w:rsidRDefault="00C5498E" w:rsidP="00C5498E">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The information provided in these sections will allow the </w:t>
      </w:r>
      <w:r w:rsidR="00C01661">
        <w:rPr>
          <w:rFonts w:ascii="Arial" w:eastAsia="Times New Roman" w:hAnsi="Arial" w:cs="Arial"/>
          <w:color w:val="000000"/>
          <w:sz w:val="22"/>
          <w:szCs w:val="22"/>
          <w:lang w:eastAsia="en-GB"/>
        </w:rPr>
        <w:t>C</w:t>
      </w:r>
      <w:r w:rsidRPr="00175A37">
        <w:rPr>
          <w:rFonts w:ascii="Arial" w:eastAsia="Times New Roman" w:hAnsi="Arial" w:cs="Arial"/>
          <w:color w:val="000000"/>
          <w:sz w:val="22"/>
          <w:szCs w:val="22"/>
          <w:lang w:eastAsia="en-GB"/>
        </w:rPr>
        <w:t xml:space="preserve">entre to continue to understand how its portfolio of projects addresses issues such as Māori and Pacific health inequities, engagement with Māori and Pacific communities and development opportunities for Māori and Pacific researchers in our work. </w:t>
      </w:r>
    </w:p>
    <w:p w14:paraId="3DC4B9F0" w14:textId="77777777" w:rsidR="00C5498E" w:rsidRDefault="00C5498E" w:rsidP="00C5498E">
      <w:pPr>
        <w:rPr>
          <w:rFonts w:ascii="Arial" w:eastAsia="Times New Roman" w:hAnsi="Arial" w:cs="Arial"/>
          <w:color w:val="000000"/>
          <w:sz w:val="22"/>
          <w:szCs w:val="22"/>
          <w:lang w:eastAsia="en-GB"/>
        </w:rPr>
      </w:pPr>
    </w:p>
    <w:p w14:paraId="3F1DFE29" w14:textId="4403F998" w:rsidR="00C5498E" w:rsidRPr="00175A37" w:rsidRDefault="00C5498E" w:rsidP="00C5498E">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We are working to provide good examples of how fundamental biomedical research can contribute to </w:t>
      </w:r>
      <w:r w:rsidRPr="00175A37">
        <w:rPr>
          <w:rFonts w:ascii="Arial" w:eastAsia="Times New Roman" w:hAnsi="Arial" w:cs="Arial" w:hint="eastAsia"/>
          <w:color w:val="000000"/>
          <w:sz w:val="22"/>
          <w:szCs w:val="22"/>
          <w:lang w:val="en-GB" w:eastAsia="en-GB"/>
        </w:rPr>
        <w:t>Māori</w:t>
      </w:r>
      <w:r w:rsidRPr="00175A37">
        <w:rPr>
          <w:rFonts w:ascii="Arial" w:eastAsia="Times New Roman" w:hAnsi="Arial" w:cs="Arial"/>
          <w:color w:val="000000"/>
          <w:sz w:val="22"/>
          <w:szCs w:val="22"/>
          <w:lang w:val="en-GB" w:eastAsia="en-GB"/>
        </w:rPr>
        <w:t xml:space="preserve"> and Pacific health advancement</w:t>
      </w:r>
      <w:r w:rsidRPr="00175A37">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w:t>
      </w:r>
      <w:r w:rsidRPr="00175A37">
        <w:rPr>
          <w:rFonts w:ascii="Arial" w:eastAsia="Times New Roman" w:hAnsi="Arial" w:cs="Arial"/>
          <w:color w:val="000000"/>
          <w:sz w:val="22"/>
          <w:szCs w:val="22"/>
          <w:lang w:eastAsia="en-GB"/>
        </w:rPr>
        <w:t xml:space="preserve"> This will allow us to plan for future efforts by the centre to support our researchers in these areas for </w:t>
      </w:r>
      <w:r w:rsidR="00C01661">
        <w:rPr>
          <w:rFonts w:ascii="Arial" w:eastAsia="Times New Roman" w:hAnsi="Arial" w:cs="Arial"/>
          <w:color w:val="000000"/>
          <w:sz w:val="22"/>
          <w:szCs w:val="22"/>
          <w:lang w:eastAsia="en-GB"/>
        </w:rPr>
        <w:t>activities</w:t>
      </w:r>
      <w:r w:rsidR="00C01661" w:rsidRPr="00175A37">
        <w:rPr>
          <w:rFonts w:ascii="Arial" w:eastAsia="Times New Roman" w:hAnsi="Arial" w:cs="Arial"/>
          <w:color w:val="000000"/>
          <w:sz w:val="22"/>
          <w:szCs w:val="22"/>
          <w:lang w:eastAsia="en-GB"/>
        </w:rPr>
        <w:t xml:space="preserve"> </w:t>
      </w:r>
      <w:r w:rsidRPr="00175A37">
        <w:rPr>
          <w:rFonts w:ascii="Arial" w:eastAsia="Times New Roman" w:hAnsi="Arial" w:cs="Arial"/>
          <w:color w:val="000000"/>
          <w:sz w:val="22"/>
          <w:szCs w:val="22"/>
          <w:lang w:eastAsia="en-GB"/>
        </w:rPr>
        <w:t>such as training and education and also development of co-ordinated efforts across the centre.</w:t>
      </w:r>
    </w:p>
    <w:p w14:paraId="7CAC39CA" w14:textId="77777777" w:rsidR="00C5498E" w:rsidRPr="00175A37" w:rsidRDefault="00C5498E" w:rsidP="00C5498E">
      <w:pPr>
        <w:rPr>
          <w:rFonts w:ascii="Arial" w:eastAsia="Times New Roman" w:hAnsi="Arial" w:cs="Arial"/>
          <w:color w:val="000000"/>
          <w:sz w:val="22"/>
          <w:szCs w:val="22"/>
          <w:lang w:eastAsia="en-GB"/>
        </w:rPr>
      </w:pPr>
    </w:p>
    <w:p w14:paraId="763204D9" w14:textId="560ED6FC" w:rsidR="00C5498E" w:rsidRPr="00175A37" w:rsidRDefault="00C5498E" w:rsidP="00C5498E">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We understand that research at the MWC covers a very wide range, from very basic science through to clinical research and responses in this area could take many forms depending on the type of work you are involved in.  However, it is important you make a genuine attempt to answer these sections.  Guidance on the ‘Application of Tiriti Principles in the Maurice Wilkins Centre’ is included in Appendix 3 on pages </w:t>
      </w:r>
      <w:r w:rsidR="00BD4E8F">
        <w:rPr>
          <w:rFonts w:ascii="Arial" w:eastAsia="Times New Roman" w:hAnsi="Arial" w:cs="Arial"/>
          <w:color w:val="000000"/>
          <w:sz w:val="22"/>
          <w:szCs w:val="22"/>
          <w:lang w:eastAsia="en-GB"/>
        </w:rPr>
        <w:t>14</w:t>
      </w:r>
      <w:r w:rsidR="00DC000B">
        <w:rPr>
          <w:rFonts w:ascii="Arial" w:eastAsia="Times New Roman" w:hAnsi="Arial" w:cs="Arial"/>
          <w:color w:val="000000"/>
          <w:sz w:val="22"/>
          <w:szCs w:val="22"/>
          <w:lang w:eastAsia="en-GB"/>
        </w:rPr>
        <w:t>-2</w:t>
      </w:r>
      <w:r w:rsidR="00BD4E8F">
        <w:rPr>
          <w:rFonts w:ascii="Arial" w:eastAsia="Times New Roman" w:hAnsi="Arial" w:cs="Arial"/>
          <w:color w:val="000000"/>
          <w:sz w:val="22"/>
          <w:szCs w:val="22"/>
          <w:lang w:eastAsia="en-GB"/>
        </w:rPr>
        <w:t>3</w:t>
      </w:r>
      <w:r w:rsidRPr="00175A37">
        <w:rPr>
          <w:rFonts w:ascii="Arial" w:eastAsia="Times New Roman" w:hAnsi="Arial" w:cs="Arial"/>
          <w:color w:val="000000"/>
          <w:sz w:val="22"/>
          <w:szCs w:val="22"/>
          <w:lang w:eastAsia="en-GB"/>
        </w:rPr>
        <w:t xml:space="preserve"> with some additional guidance </w:t>
      </w:r>
      <w:r w:rsidR="00C01661">
        <w:rPr>
          <w:rFonts w:ascii="Arial" w:eastAsia="Times New Roman" w:hAnsi="Arial" w:cs="Arial"/>
          <w:color w:val="000000"/>
          <w:sz w:val="22"/>
          <w:szCs w:val="22"/>
          <w:lang w:eastAsia="en-GB"/>
        </w:rPr>
        <w:t xml:space="preserve">about </w:t>
      </w:r>
      <w:r w:rsidRPr="00175A37">
        <w:rPr>
          <w:rFonts w:ascii="Arial" w:eastAsia="Times New Roman" w:hAnsi="Arial" w:cs="Arial"/>
          <w:color w:val="000000"/>
          <w:sz w:val="22"/>
          <w:szCs w:val="22"/>
          <w:lang w:eastAsia="en-GB"/>
        </w:rPr>
        <w:t xml:space="preserve">what could be covered in Appendix 4 on page </w:t>
      </w:r>
      <w:r w:rsidR="00BD4E8F">
        <w:rPr>
          <w:rFonts w:ascii="Arial" w:eastAsia="Times New Roman" w:hAnsi="Arial" w:cs="Arial"/>
          <w:color w:val="000000"/>
          <w:sz w:val="22"/>
          <w:szCs w:val="22"/>
          <w:lang w:eastAsia="en-GB"/>
        </w:rPr>
        <w:t>24</w:t>
      </w:r>
      <w:r w:rsidRPr="00175A37">
        <w:rPr>
          <w:rFonts w:ascii="Arial" w:eastAsia="Times New Roman" w:hAnsi="Arial" w:cs="Arial"/>
          <w:color w:val="000000"/>
          <w:sz w:val="22"/>
          <w:szCs w:val="22"/>
          <w:lang w:eastAsia="en-GB"/>
        </w:rPr>
        <w:t xml:space="preserve">.  We would also encourage applicants to read the Māori Health </w:t>
      </w:r>
      <w:r w:rsidR="00C01661">
        <w:rPr>
          <w:rFonts w:ascii="Arial" w:eastAsia="Times New Roman" w:hAnsi="Arial" w:cs="Arial"/>
          <w:color w:val="000000"/>
          <w:sz w:val="22"/>
          <w:szCs w:val="22"/>
          <w:lang w:eastAsia="en-GB"/>
        </w:rPr>
        <w:t>A</w:t>
      </w:r>
      <w:r w:rsidRPr="00175A37">
        <w:rPr>
          <w:rFonts w:ascii="Arial" w:eastAsia="Times New Roman" w:hAnsi="Arial" w:cs="Arial"/>
          <w:color w:val="000000"/>
          <w:sz w:val="22"/>
          <w:szCs w:val="22"/>
          <w:lang w:eastAsia="en-GB"/>
        </w:rPr>
        <w:t xml:space="preserve">dvancement section of </w:t>
      </w:r>
      <w:r w:rsidR="00C01661">
        <w:rPr>
          <w:rFonts w:ascii="Arial" w:eastAsia="Times New Roman" w:hAnsi="Arial" w:cs="Arial"/>
          <w:color w:val="000000"/>
          <w:sz w:val="22"/>
          <w:szCs w:val="22"/>
          <w:lang w:eastAsia="en-GB"/>
        </w:rPr>
        <w:t>the</w:t>
      </w:r>
      <w:r w:rsidRPr="00175A37">
        <w:rPr>
          <w:rFonts w:ascii="Arial" w:eastAsia="Times New Roman" w:hAnsi="Arial" w:cs="Arial"/>
          <w:color w:val="000000"/>
          <w:sz w:val="22"/>
          <w:szCs w:val="22"/>
          <w:lang w:eastAsia="en-GB"/>
        </w:rPr>
        <w:t xml:space="preserve"> Cancer</w:t>
      </w:r>
      <w:r w:rsidR="00CC5B17">
        <w:rPr>
          <w:rFonts w:ascii="Arial" w:eastAsia="Times New Roman" w:hAnsi="Arial" w:cs="Arial"/>
          <w:color w:val="000000"/>
          <w:sz w:val="22"/>
          <w:szCs w:val="22"/>
          <w:lang w:eastAsia="en-GB"/>
        </w:rPr>
        <w:t xml:space="preserve"> Theme</w:t>
      </w:r>
      <w:r w:rsidRPr="00175A37">
        <w:rPr>
          <w:rFonts w:ascii="Arial" w:eastAsia="Times New Roman" w:hAnsi="Arial" w:cs="Arial"/>
          <w:color w:val="000000"/>
          <w:sz w:val="22"/>
          <w:szCs w:val="22"/>
          <w:lang w:eastAsia="en-GB"/>
        </w:rPr>
        <w:t xml:space="preserve">, which can be accessed through the MWC Research theme information in the member’s pages of the MWC website </w:t>
      </w:r>
      <w:hyperlink r:id="rId13" w:history="1">
        <w:r w:rsidRPr="00175A37">
          <w:rPr>
            <w:rStyle w:val="Hyperlink"/>
            <w:rFonts w:ascii="Arial" w:eastAsia="Times New Roman" w:hAnsi="Arial" w:cs="Arial"/>
            <w:sz w:val="22"/>
            <w:szCs w:val="22"/>
            <w:lang w:eastAsia="en-GB"/>
          </w:rPr>
          <w:t>https://www.mauricewilkinscentre.org/welcome/mwc-research-themes/</w:t>
        </w:r>
      </w:hyperlink>
      <w:r w:rsidRPr="00175A37">
        <w:rPr>
          <w:rFonts w:ascii="Arial" w:eastAsia="Times New Roman" w:hAnsi="Arial" w:cs="Arial"/>
          <w:color w:val="000000"/>
          <w:sz w:val="22"/>
          <w:szCs w:val="22"/>
          <w:lang w:eastAsia="en-GB"/>
        </w:rPr>
        <w:t xml:space="preserve"> </w:t>
      </w:r>
      <w:r w:rsidRPr="00175A37" w:rsidDel="008A0896">
        <w:rPr>
          <w:rFonts w:ascii="Arial" w:eastAsia="Times New Roman" w:hAnsi="Arial" w:cs="Arial"/>
          <w:color w:val="000000"/>
          <w:sz w:val="22"/>
          <w:szCs w:val="22"/>
          <w:lang w:eastAsia="en-GB"/>
        </w:rPr>
        <w:t xml:space="preserve"> </w:t>
      </w:r>
      <w:r w:rsidRPr="00175A37">
        <w:rPr>
          <w:rFonts w:ascii="Arial" w:eastAsia="Times New Roman" w:hAnsi="Arial" w:cs="Arial"/>
          <w:color w:val="000000"/>
          <w:sz w:val="22"/>
          <w:szCs w:val="22"/>
          <w:lang w:eastAsia="en-GB"/>
        </w:rPr>
        <w:t xml:space="preserve"> </w:t>
      </w:r>
    </w:p>
    <w:p w14:paraId="77F0EC71" w14:textId="77777777" w:rsidR="00C5498E" w:rsidRPr="00175A37" w:rsidRDefault="00C5498E" w:rsidP="00C5498E">
      <w:pPr>
        <w:rPr>
          <w:rFonts w:ascii="Arial" w:eastAsia="Times New Roman" w:hAnsi="Arial" w:cs="Arial"/>
          <w:color w:val="000000"/>
          <w:sz w:val="22"/>
          <w:szCs w:val="22"/>
          <w:lang w:eastAsia="en-GB"/>
        </w:rPr>
      </w:pPr>
      <w:r w:rsidRPr="00175A37">
        <w:rPr>
          <w:rFonts w:ascii="Arial" w:eastAsia="Times New Roman" w:hAnsi="Arial" w:cs="Arial"/>
          <w:color w:val="000000"/>
          <w:sz w:val="22"/>
          <w:szCs w:val="22"/>
          <w:lang w:eastAsia="en-GB"/>
        </w:rPr>
        <w:t xml:space="preserve">You can also refer </w:t>
      </w:r>
      <w:r w:rsidRPr="00175A37">
        <w:rPr>
          <w:rFonts w:ascii="Arial" w:eastAsia="Times New Roman" w:hAnsi="Arial" w:cs="Arial"/>
          <w:color w:val="000000"/>
          <w:sz w:val="22"/>
          <w:szCs w:val="22"/>
          <w:lang w:val="en-GB" w:eastAsia="en-GB"/>
        </w:rPr>
        <w:t>to the New Zealand Health Research Strategy 2017-2027, specifically Strategic priorities and supporting actions – Action 3, and the Pacific Health Research Guidelines 2014.</w:t>
      </w:r>
    </w:p>
    <w:p w14:paraId="70ABB5BE" w14:textId="77777777" w:rsidR="00C5498E" w:rsidRPr="00175A37" w:rsidRDefault="00C5498E" w:rsidP="00C5498E">
      <w:pPr>
        <w:rPr>
          <w:rFonts w:ascii="Arial" w:eastAsia="Times New Roman" w:hAnsi="Arial" w:cs="Arial"/>
          <w:color w:val="000000"/>
          <w:sz w:val="22"/>
          <w:szCs w:val="22"/>
          <w:lang w:eastAsia="en-GB"/>
        </w:rPr>
      </w:pPr>
    </w:p>
    <w:p w14:paraId="06681C42" w14:textId="24ACFFB7" w:rsidR="00C5498E" w:rsidRPr="00175A37" w:rsidRDefault="00C5498E" w:rsidP="00C5498E">
      <w:pPr>
        <w:rPr>
          <w:rFonts w:ascii="Arial" w:eastAsia="Times New Roman" w:hAnsi="Arial" w:cs="Arial"/>
          <w:color w:val="000000"/>
          <w:sz w:val="22"/>
          <w:szCs w:val="22"/>
          <w:lang w:val="en-NZ" w:eastAsia="en-GB"/>
        </w:rPr>
      </w:pPr>
      <w:r w:rsidRPr="00175A37">
        <w:rPr>
          <w:rFonts w:ascii="Arial" w:eastAsia="Times New Roman" w:hAnsi="Arial" w:cs="Arial"/>
          <w:color w:val="000000"/>
          <w:sz w:val="22"/>
          <w:szCs w:val="22"/>
          <w:lang w:val="en-NZ" w:eastAsia="en-GB"/>
        </w:rPr>
        <w:t xml:space="preserve">Responses to these sections will be reviewed by the MWC Kaiārahi </w:t>
      </w:r>
      <w:r w:rsidRPr="004E77AE">
        <w:rPr>
          <w:rFonts w:ascii="Arial" w:eastAsia="Times New Roman" w:hAnsi="Arial" w:cs="Arial"/>
          <w:color w:val="000000"/>
          <w:sz w:val="22"/>
          <w:szCs w:val="22"/>
          <w:lang w:val="en-NZ" w:eastAsia="en-GB"/>
        </w:rPr>
        <w:t xml:space="preserve">and the </w:t>
      </w:r>
      <w:r w:rsidR="00871E7C" w:rsidRPr="004E77AE">
        <w:rPr>
          <w:rFonts w:ascii="Arial" w:eastAsia="Times New Roman" w:hAnsi="Arial" w:cs="Arial"/>
          <w:color w:val="000000"/>
          <w:sz w:val="22"/>
          <w:szCs w:val="22"/>
          <w:lang w:val="en-NZ" w:eastAsia="en-GB"/>
        </w:rPr>
        <w:t>Cancer Theme Leadership</w:t>
      </w:r>
      <w:r w:rsidRPr="004E77AE">
        <w:rPr>
          <w:rFonts w:ascii="Arial" w:eastAsia="Times New Roman" w:hAnsi="Arial" w:cs="Arial"/>
          <w:color w:val="000000"/>
          <w:sz w:val="22"/>
          <w:szCs w:val="22"/>
          <w:lang w:val="en-NZ" w:eastAsia="en-GB"/>
        </w:rPr>
        <w:t xml:space="preserve"> and recorded as either appropriate or ‘needs revision’ with respect</w:t>
      </w:r>
      <w:r w:rsidRPr="00175A37">
        <w:rPr>
          <w:rFonts w:ascii="Arial" w:eastAsia="Times New Roman" w:hAnsi="Arial" w:cs="Arial"/>
          <w:color w:val="000000"/>
          <w:sz w:val="22"/>
          <w:szCs w:val="22"/>
          <w:lang w:val="en-NZ" w:eastAsia="en-GB"/>
        </w:rPr>
        <w:t xml:space="preserve"> to the proposed project. </w:t>
      </w:r>
      <w:r w:rsidR="00757DE4" w:rsidRPr="00757DE4">
        <w:rPr>
          <w:rFonts w:ascii="Arial" w:eastAsia="Times New Roman" w:hAnsi="Arial" w:cs="Arial"/>
          <w:color w:val="000000"/>
          <w:sz w:val="22"/>
          <w:szCs w:val="22"/>
          <w:lang w:val="en-NZ" w:eastAsia="en-GB"/>
        </w:rPr>
        <w:t>Contributions to the Māori Engagement Strategy will also be considered as part of the assessment of the strategic value of the research.</w:t>
      </w:r>
    </w:p>
    <w:p w14:paraId="6310C88C" w14:textId="77777777" w:rsidR="00C5498E" w:rsidRPr="00175A37" w:rsidRDefault="00C5498E" w:rsidP="00C5498E">
      <w:pPr>
        <w:rPr>
          <w:rFonts w:ascii="Arial" w:eastAsia="Times New Roman" w:hAnsi="Arial" w:cs="Arial"/>
          <w:color w:val="000000"/>
          <w:sz w:val="22"/>
          <w:szCs w:val="22"/>
          <w:lang w:val="en-NZ" w:eastAsia="en-GB"/>
        </w:rPr>
      </w:pPr>
    </w:p>
    <w:p w14:paraId="15EA8205" w14:textId="7C7B7B40" w:rsidR="00C5498E" w:rsidRPr="00742585" w:rsidRDefault="00C5498E" w:rsidP="00C5498E">
      <w:pPr>
        <w:rPr>
          <w:rFonts w:ascii="Arial" w:eastAsia="Times New Roman" w:hAnsi="Arial" w:cs="Arial"/>
          <w:b/>
          <w:bCs/>
          <w:sz w:val="22"/>
          <w:szCs w:val="22"/>
          <w:lang w:val="en-NZ" w:eastAsia="en-GB"/>
        </w:rPr>
      </w:pPr>
      <w:r w:rsidRPr="00175A37">
        <w:rPr>
          <w:rFonts w:ascii="Arial" w:eastAsia="Times New Roman" w:hAnsi="Arial" w:cs="Arial"/>
          <w:color w:val="000000"/>
          <w:sz w:val="22"/>
          <w:szCs w:val="22"/>
          <w:lang w:val="en-NZ" w:eastAsia="en-GB"/>
        </w:rPr>
        <w:t>Proposed projects will need to have an appropriate response before being given final approval for funding.  If a proposed project is selected for funding but is judged to have a response to this section that needs revision, it will be treated as provisional until the response is revised and judged to be appropriate.</w:t>
      </w:r>
      <w:r>
        <w:rPr>
          <w:rFonts w:ascii="Arial" w:eastAsia="Times New Roman" w:hAnsi="Arial" w:cs="Arial"/>
          <w:color w:val="000000"/>
          <w:sz w:val="22"/>
          <w:szCs w:val="22"/>
          <w:lang w:val="en-NZ" w:eastAsia="en-GB"/>
        </w:rPr>
        <w:t xml:space="preserve"> </w:t>
      </w:r>
      <w:r w:rsidRPr="00175A37">
        <w:rPr>
          <w:rFonts w:ascii="Arial" w:eastAsia="Times New Roman" w:hAnsi="Arial" w:cs="Arial"/>
          <w:color w:val="000000"/>
          <w:sz w:val="22"/>
          <w:szCs w:val="22"/>
          <w:lang w:val="en-NZ" w:eastAsia="en-GB"/>
        </w:rPr>
        <w:t xml:space="preserve">The MWC Research Operations Manager will inform lead investigators </w:t>
      </w:r>
      <w:r w:rsidR="00C01661">
        <w:rPr>
          <w:rFonts w:ascii="Arial" w:eastAsia="Times New Roman" w:hAnsi="Arial" w:cs="Arial"/>
          <w:color w:val="000000"/>
          <w:sz w:val="22"/>
          <w:szCs w:val="22"/>
          <w:lang w:val="en-NZ" w:eastAsia="en-GB"/>
        </w:rPr>
        <w:t>about how</w:t>
      </w:r>
      <w:r w:rsidRPr="00175A37">
        <w:rPr>
          <w:rFonts w:ascii="Arial" w:eastAsia="Times New Roman" w:hAnsi="Arial" w:cs="Arial"/>
          <w:color w:val="000000"/>
          <w:sz w:val="22"/>
          <w:szCs w:val="22"/>
          <w:lang w:val="en-NZ" w:eastAsia="en-GB"/>
        </w:rPr>
        <w:t xml:space="preserve"> guidance </w:t>
      </w:r>
      <w:r w:rsidR="00C01661">
        <w:rPr>
          <w:rFonts w:ascii="Arial" w:eastAsia="Times New Roman" w:hAnsi="Arial" w:cs="Arial"/>
          <w:color w:val="000000"/>
          <w:sz w:val="22"/>
          <w:szCs w:val="22"/>
          <w:lang w:val="en-NZ" w:eastAsia="en-GB"/>
        </w:rPr>
        <w:t xml:space="preserve">will be provided </w:t>
      </w:r>
      <w:r w:rsidRPr="00175A37">
        <w:rPr>
          <w:rFonts w:ascii="Arial" w:eastAsia="Times New Roman" w:hAnsi="Arial" w:cs="Arial"/>
          <w:color w:val="000000"/>
          <w:sz w:val="22"/>
          <w:szCs w:val="22"/>
          <w:lang w:val="en-NZ" w:eastAsia="en-GB"/>
        </w:rPr>
        <w:t>to help them revise their response.</w:t>
      </w:r>
    </w:p>
    <w:bookmarkEnd w:id="1"/>
    <w:p w14:paraId="5D1069D2" w14:textId="163D882C" w:rsidR="009A0B89" w:rsidRDefault="009A0B89" w:rsidP="007B7AC5">
      <w:pPr>
        <w:rPr>
          <w:rFonts w:ascii="Arial" w:hAnsi="Arial" w:cs="Arial"/>
          <w:b/>
          <w:sz w:val="28"/>
          <w:szCs w:val="28"/>
        </w:rPr>
      </w:pPr>
      <w:r>
        <w:rPr>
          <w:rFonts w:ascii="Arial" w:hAnsi="Arial" w:cs="Arial"/>
          <w:b/>
          <w:sz w:val="28"/>
          <w:szCs w:val="28"/>
        </w:rPr>
        <w:br w:type="page"/>
      </w:r>
    </w:p>
    <w:p w14:paraId="50D2917A" w14:textId="3FBC7A5B" w:rsidR="00195A0A" w:rsidRPr="00557251" w:rsidRDefault="00195A0A" w:rsidP="00195A0A">
      <w:pPr>
        <w:outlineLvl w:val="1"/>
        <w:rPr>
          <w:rFonts w:ascii="Arial" w:hAnsi="Arial" w:cs="Arial"/>
          <w:b/>
          <w:sz w:val="28"/>
          <w:szCs w:val="28"/>
        </w:rPr>
      </w:pPr>
      <w:bookmarkStart w:id="2" w:name="_Hlk80110782"/>
      <w:r>
        <w:rPr>
          <w:rFonts w:ascii="Arial" w:hAnsi="Arial" w:cs="Arial"/>
          <w:b/>
          <w:sz w:val="28"/>
          <w:szCs w:val="28"/>
        </w:rPr>
        <w:lastRenderedPageBreak/>
        <w:t xml:space="preserve">MWC </w:t>
      </w:r>
      <w:r w:rsidR="00CC5B17">
        <w:rPr>
          <w:rFonts w:ascii="Arial" w:hAnsi="Arial" w:cs="Arial"/>
          <w:b/>
          <w:sz w:val="28"/>
          <w:szCs w:val="28"/>
        </w:rPr>
        <w:t>Cancer Theme</w:t>
      </w:r>
      <w:r w:rsidR="00F92DC6">
        <w:rPr>
          <w:rFonts w:ascii="Arial" w:hAnsi="Arial" w:cs="Arial"/>
          <w:b/>
          <w:sz w:val="28"/>
          <w:szCs w:val="28"/>
        </w:rPr>
        <w:t xml:space="preserve"> Research</w:t>
      </w:r>
      <w:r>
        <w:rPr>
          <w:rFonts w:ascii="Arial" w:hAnsi="Arial" w:cs="Arial"/>
          <w:b/>
          <w:sz w:val="28"/>
          <w:szCs w:val="28"/>
        </w:rPr>
        <w:t xml:space="preserve"> Project Support </w:t>
      </w:r>
      <w:r w:rsidRPr="00557251">
        <w:rPr>
          <w:rFonts w:ascii="Arial" w:hAnsi="Arial" w:cs="Arial"/>
          <w:b/>
          <w:sz w:val="28"/>
          <w:szCs w:val="28"/>
        </w:rPr>
        <w:t xml:space="preserve"> </w:t>
      </w:r>
    </w:p>
    <w:p w14:paraId="3923C831" w14:textId="77777777" w:rsidR="00195A0A" w:rsidRPr="00557251" w:rsidRDefault="00195A0A" w:rsidP="00195A0A">
      <w:pPr>
        <w:rPr>
          <w:sz w:val="20"/>
        </w:rPr>
      </w:pPr>
    </w:p>
    <w:p w14:paraId="2CC3D598" w14:textId="77777777" w:rsidR="00195A0A" w:rsidRPr="004B6CA6" w:rsidRDefault="00195A0A" w:rsidP="00195A0A">
      <w:pPr>
        <w:pStyle w:val="Arialnormal"/>
        <w:rPr>
          <w:b/>
          <w:bCs/>
        </w:rPr>
      </w:pPr>
      <w:r w:rsidRPr="004B6CA6">
        <w:rPr>
          <w:b/>
          <w:bCs/>
        </w:rPr>
        <w:t>Purpose:</w:t>
      </w:r>
    </w:p>
    <w:p w14:paraId="6FE6013B" w14:textId="4F0651F3" w:rsidR="00195A0A" w:rsidRDefault="00195A0A" w:rsidP="002E3F4F">
      <w:pPr>
        <w:pStyle w:val="Arialnormal"/>
      </w:pPr>
      <w:r w:rsidRPr="002062AB">
        <w:t xml:space="preserve">To provide funding for research expenses for </w:t>
      </w:r>
      <w:r>
        <w:t xml:space="preserve">innovative, </w:t>
      </w:r>
      <w:r w:rsidRPr="002062AB">
        <w:t>interdisciplinary projects that will also promote progress in scientific areas of importance to the MWC</w:t>
      </w:r>
      <w:r w:rsidR="00CC5B17">
        <w:t xml:space="preserve"> Cancer Theme</w:t>
      </w:r>
      <w:r w:rsidRPr="002062AB">
        <w:t>.</w:t>
      </w:r>
    </w:p>
    <w:p w14:paraId="65CA2C8B" w14:textId="4BE3668D" w:rsidR="00195A0A" w:rsidRPr="002062AB" w:rsidRDefault="00272583" w:rsidP="002E3F4F">
      <w:pPr>
        <w:pStyle w:val="Arialnormal"/>
      </w:pPr>
      <w:r>
        <w:t>Applicants can apply for working expenses and/or costs for equipment/facilities</w:t>
      </w:r>
      <w:r w:rsidR="00CC5B17">
        <w:t xml:space="preserve"> and/or salary support</w:t>
      </w:r>
      <w:r>
        <w:t xml:space="preserve"> as detailed in the budget guidelines as ‘eligible costs.’</w:t>
      </w:r>
    </w:p>
    <w:p w14:paraId="181BB0EE" w14:textId="77777777" w:rsidR="00195A0A" w:rsidRPr="002062AB" w:rsidRDefault="00195A0A" w:rsidP="002E3F4F">
      <w:pPr>
        <w:pStyle w:val="Arialnormal"/>
      </w:pPr>
    </w:p>
    <w:p w14:paraId="795F6B88" w14:textId="77777777" w:rsidR="00195A0A" w:rsidRPr="004B6CA6" w:rsidRDefault="00195A0A" w:rsidP="002E3F4F">
      <w:pPr>
        <w:pStyle w:val="Arialnormal"/>
        <w:rPr>
          <w:b/>
          <w:bCs/>
        </w:rPr>
      </w:pPr>
      <w:r w:rsidRPr="004B6CA6">
        <w:rPr>
          <w:b/>
          <w:bCs/>
        </w:rPr>
        <w:t>Eligibility and criteria:</w:t>
      </w:r>
    </w:p>
    <w:p w14:paraId="5CAD2EC6" w14:textId="77777777" w:rsidR="00195A0A" w:rsidRPr="002062AB" w:rsidRDefault="00195A0A" w:rsidP="002E3F4F">
      <w:pPr>
        <w:pStyle w:val="Arialnormal"/>
      </w:pPr>
    </w:p>
    <w:p w14:paraId="7AE85132" w14:textId="77777777" w:rsidR="00195A0A" w:rsidRPr="004B6CA6" w:rsidRDefault="00195A0A" w:rsidP="002E3F4F">
      <w:pPr>
        <w:pStyle w:val="Arialnormal"/>
        <w:rPr>
          <w:b/>
          <w:bCs/>
        </w:rPr>
      </w:pPr>
      <w:r w:rsidRPr="004B6CA6">
        <w:rPr>
          <w:b/>
          <w:bCs/>
        </w:rPr>
        <w:t>Project leader</w:t>
      </w:r>
      <w:r>
        <w:rPr>
          <w:b/>
          <w:bCs/>
        </w:rPr>
        <w:t xml:space="preserve"> and Personnel</w:t>
      </w:r>
      <w:r w:rsidRPr="004B6CA6">
        <w:rPr>
          <w:b/>
          <w:bCs/>
        </w:rPr>
        <w:t>:</w:t>
      </w:r>
    </w:p>
    <w:p w14:paraId="4361959C" w14:textId="1BDACAE7" w:rsidR="004615AF" w:rsidRPr="004615AF" w:rsidRDefault="00195A0A" w:rsidP="004615AF">
      <w:pPr>
        <w:pStyle w:val="ListMWC"/>
        <w:numPr>
          <w:ilvl w:val="0"/>
          <w:numId w:val="31"/>
        </w:numPr>
        <w:rPr>
          <w:sz w:val="22"/>
          <w:szCs w:val="22"/>
        </w:rPr>
      </w:pPr>
      <w:r w:rsidRPr="0024763F">
        <w:rPr>
          <w:sz w:val="22"/>
          <w:szCs w:val="22"/>
        </w:rPr>
        <w:t xml:space="preserve">The project leader must be a MWC principal investigator, associate investigator, </w:t>
      </w:r>
      <w:r w:rsidR="009B0E24">
        <w:rPr>
          <w:sz w:val="22"/>
          <w:szCs w:val="22"/>
        </w:rPr>
        <w:t xml:space="preserve">or </w:t>
      </w:r>
      <w:r w:rsidRPr="0024763F">
        <w:rPr>
          <w:sz w:val="22"/>
          <w:szCs w:val="22"/>
        </w:rPr>
        <w:t xml:space="preserve">clinical associate investigator at the post-doctoral level and must be responsible for the project. </w:t>
      </w:r>
    </w:p>
    <w:p w14:paraId="6DF13847" w14:textId="77777777" w:rsidR="00195A0A" w:rsidRPr="0024763F" w:rsidRDefault="00195A0A" w:rsidP="002E3F4F">
      <w:pPr>
        <w:pStyle w:val="ListMWC"/>
        <w:numPr>
          <w:ilvl w:val="0"/>
          <w:numId w:val="31"/>
        </w:numPr>
        <w:rPr>
          <w:sz w:val="22"/>
          <w:szCs w:val="22"/>
        </w:rPr>
      </w:pPr>
      <w:r w:rsidRPr="0024763F">
        <w:rPr>
          <w:sz w:val="22"/>
          <w:szCs w:val="22"/>
        </w:rPr>
        <w:t>Project leaders are only to submit one project in this category in a funding round.</w:t>
      </w:r>
    </w:p>
    <w:p w14:paraId="5A08E870" w14:textId="180DC7FD" w:rsidR="00195A0A" w:rsidRDefault="00195A0A" w:rsidP="002E3F4F">
      <w:pPr>
        <w:pStyle w:val="ListMWC"/>
        <w:numPr>
          <w:ilvl w:val="0"/>
          <w:numId w:val="31"/>
        </w:numPr>
        <w:rPr>
          <w:sz w:val="22"/>
          <w:szCs w:val="22"/>
        </w:rPr>
      </w:pPr>
      <w:r w:rsidRPr="004B6CA6">
        <w:rPr>
          <w:sz w:val="22"/>
          <w:szCs w:val="22"/>
        </w:rPr>
        <w:t xml:space="preserve">The project leader should be able to hold research funds at a research organisation that is a signatory to the MWC Collaborative Agreement (see list of institutions on page </w:t>
      </w:r>
      <w:r w:rsidR="006A578A">
        <w:rPr>
          <w:sz w:val="22"/>
          <w:szCs w:val="22"/>
        </w:rPr>
        <w:t>19</w:t>
      </w:r>
      <w:r w:rsidRPr="004B6CA6">
        <w:rPr>
          <w:sz w:val="22"/>
          <w:szCs w:val="22"/>
        </w:rPr>
        <w:t xml:space="preserve">) </w:t>
      </w:r>
    </w:p>
    <w:p w14:paraId="22C9F937" w14:textId="328170EA" w:rsidR="00195A0A" w:rsidRDefault="00195A0A" w:rsidP="002E3F4F">
      <w:pPr>
        <w:pStyle w:val="ListMWC"/>
        <w:numPr>
          <w:ilvl w:val="0"/>
          <w:numId w:val="31"/>
        </w:numPr>
        <w:rPr>
          <w:sz w:val="22"/>
          <w:szCs w:val="22"/>
        </w:rPr>
      </w:pPr>
      <w:r w:rsidRPr="0024763F">
        <w:rPr>
          <w:sz w:val="22"/>
          <w:szCs w:val="22"/>
        </w:rPr>
        <w:t xml:space="preserve">If </w:t>
      </w:r>
      <w:r>
        <w:rPr>
          <w:sz w:val="22"/>
          <w:szCs w:val="22"/>
        </w:rPr>
        <w:t xml:space="preserve">the project leader is </w:t>
      </w:r>
      <w:r w:rsidRPr="0024763F">
        <w:rPr>
          <w:sz w:val="22"/>
          <w:szCs w:val="22"/>
        </w:rPr>
        <w:t>a fixed-term researcher they must state that they have a contract for the duration of the project and/or include a letter from their line</w:t>
      </w:r>
      <w:r w:rsidR="00821966">
        <w:rPr>
          <w:sz w:val="22"/>
          <w:szCs w:val="22"/>
        </w:rPr>
        <w:t xml:space="preserve"> </w:t>
      </w:r>
      <w:r w:rsidRPr="0024763F">
        <w:rPr>
          <w:sz w:val="22"/>
          <w:szCs w:val="22"/>
        </w:rPr>
        <w:t>manager confirming support for the duration of the project.</w:t>
      </w:r>
    </w:p>
    <w:p w14:paraId="396A755E" w14:textId="2FA8F133" w:rsidR="00195A0A" w:rsidRPr="00E66AFC" w:rsidRDefault="00195A0A" w:rsidP="002E3F4F">
      <w:pPr>
        <w:pStyle w:val="ListMWC"/>
        <w:numPr>
          <w:ilvl w:val="0"/>
          <w:numId w:val="31"/>
        </w:numPr>
        <w:rPr>
          <w:sz w:val="22"/>
          <w:szCs w:val="22"/>
        </w:rPr>
      </w:pPr>
      <w:r w:rsidRPr="0024763F">
        <w:rPr>
          <w:sz w:val="22"/>
          <w:szCs w:val="22"/>
        </w:rPr>
        <w:t>All research staff associated with a project should be named</w:t>
      </w:r>
      <w:r>
        <w:rPr>
          <w:sz w:val="22"/>
          <w:szCs w:val="22"/>
        </w:rPr>
        <w:t xml:space="preserve"> in the personnel section</w:t>
      </w:r>
      <w:r w:rsidR="00821966">
        <w:rPr>
          <w:sz w:val="22"/>
          <w:szCs w:val="22"/>
        </w:rPr>
        <w:t xml:space="preserve"> and their role and specific contribution described</w:t>
      </w:r>
      <w:r w:rsidRPr="0024763F">
        <w:rPr>
          <w:sz w:val="22"/>
          <w:szCs w:val="22"/>
        </w:rPr>
        <w:t>.</w:t>
      </w:r>
      <w:r w:rsidR="00B95E0A">
        <w:rPr>
          <w:sz w:val="22"/>
          <w:szCs w:val="22"/>
        </w:rPr>
        <w:t xml:space="preserve"> </w:t>
      </w:r>
      <w:r w:rsidRPr="0024763F">
        <w:rPr>
          <w:sz w:val="22"/>
          <w:szCs w:val="22"/>
        </w:rPr>
        <w:t>If a student is included as part of the project team the details of their study should be stated.</w:t>
      </w:r>
    </w:p>
    <w:p w14:paraId="44256E71" w14:textId="77777777" w:rsidR="00195A0A" w:rsidRPr="002E3F4F" w:rsidRDefault="00195A0A" w:rsidP="002E3F4F">
      <w:pPr>
        <w:pStyle w:val="Arialnormal"/>
        <w:rPr>
          <w:sz w:val="16"/>
          <w:szCs w:val="16"/>
        </w:rPr>
      </w:pPr>
    </w:p>
    <w:p w14:paraId="6B0AAFFA" w14:textId="77777777" w:rsidR="00195A0A" w:rsidRPr="004B6CA6" w:rsidRDefault="00195A0A" w:rsidP="002E3F4F">
      <w:pPr>
        <w:pStyle w:val="Arialnormal"/>
        <w:rPr>
          <w:b/>
          <w:bCs/>
        </w:rPr>
      </w:pPr>
      <w:r w:rsidRPr="004B6CA6">
        <w:rPr>
          <w:b/>
          <w:bCs/>
        </w:rPr>
        <w:t>Research Project:</w:t>
      </w:r>
    </w:p>
    <w:p w14:paraId="140DFC3D" w14:textId="0F49C6A1" w:rsidR="00195A0A" w:rsidRPr="00A81691" w:rsidRDefault="00195A0A" w:rsidP="002E3F4F">
      <w:pPr>
        <w:pStyle w:val="ListMWC"/>
        <w:numPr>
          <w:ilvl w:val="0"/>
          <w:numId w:val="31"/>
        </w:numPr>
        <w:rPr>
          <w:sz w:val="22"/>
          <w:szCs w:val="22"/>
        </w:rPr>
      </w:pPr>
      <w:r w:rsidRPr="00A81691">
        <w:rPr>
          <w:sz w:val="22"/>
          <w:szCs w:val="22"/>
        </w:rPr>
        <w:t xml:space="preserve">Projects </w:t>
      </w:r>
      <w:r w:rsidR="00CC5B17">
        <w:rPr>
          <w:sz w:val="22"/>
          <w:szCs w:val="22"/>
        </w:rPr>
        <w:t>may be</w:t>
      </w:r>
      <w:r w:rsidR="002807A2">
        <w:rPr>
          <w:sz w:val="22"/>
          <w:szCs w:val="22"/>
        </w:rPr>
        <w:t xml:space="preserve"> </w:t>
      </w:r>
      <w:r>
        <w:rPr>
          <w:sz w:val="22"/>
          <w:szCs w:val="22"/>
        </w:rPr>
        <w:t xml:space="preserve">up to </w:t>
      </w:r>
      <w:r w:rsidR="00017540">
        <w:rPr>
          <w:sz w:val="22"/>
          <w:szCs w:val="22"/>
        </w:rPr>
        <w:t>2.5</w:t>
      </w:r>
      <w:r>
        <w:rPr>
          <w:sz w:val="22"/>
          <w:szCs w:val="22"/>
        </w:rPr>
        <w:t xml:space="preserve"> years duration but</w:t>
      </w:r>
      <w:r w:rsidR="005E2517">
        <w:rPr>
          <w:sz w:val="22"/>
          <w:szCs w:val="22"/>
        </w:rPr>
        <w:t xml:space="preserve"> </w:t>
      </w:r>
      <w:r>
        <w:rPr>
          <w:sz w:val="22"/>
          <w:szCs w:val="22"/>
        </w:rPr>
        <w:t>must be completed before the end of 2028.</w:t>
      </w:r>
    </w:p>
    <w:p w14:paraId="779271B8" w14:textId="2DCA47F2" w:rsidR="00195A0A" w:rsidRDefault="00195A0A" w:rsidP="002E3F4F">
      <w:pPr>
        <w:pStyle w:val="ListMWC"/>
        <w:numPr>
          <w:ilvl w:val="0"/>
          <w:numId w:val="31"/>
        </w:numPr>
        <w:rPr>
          <w:sz w:val="22"/>
          <w:szCs w:val="22"/>
        </w:rPr>
      </w:pPr>
      <w:r w:rsidRPr="00A81691">
        <w:rPr>
          <w:sz w:val="22"/>
          <w:szCs w:val="22"/>
        </w:rPr>
        <w:t xml:space="preserve">Projects </w:t>
      </w:r>
      <w:r w:rsidR="005E2517">
        <w:rPr>
          <w:sz w:val="22"/>
          <w:szCs w:val="22"/>
        </w:rPr>
        <w:t>should</w:t>
      </w:r>
      <w:r w:rsidR="00CC5B17">
        <w:rPr>
          <w:sz w:val="22"/>
          <w:szCs w:val="22"/>
        </w:rPr>
        <w:t xml:space="preserve"> primarily</w:t>
      </w:r>
      <w:r w:rsidRPr="00A81691">
        <w:rPr>
          <w:sz w:val="22"/>
          <w:szCs w:val="22"/>
        </w:rPr>
        <w:t xml:space="preserve"> contribute to the </w:t>
      </w:r>
      <w:r w:rsidR="00CC5B17">
        <w:rPr>
          <w:sz w:val="22"/>
          <w:szCs w:val="22"/>
        </w:rPr>
        <w:t>Cancer T</w:t>
      </w:r>
      <w:r w:rsidRPr="00A81691">
        <w:rPr>
          <w:sz w:val="22"/>
          <w:szCs w:val="22"/>
        </w:rPr>
        <w:t xml:space="preserve">heme of </w:t>
      </w:r>
      <w:r>
        <w:rPr>
          <w:sz w:val="22"/>
          <w:szCs w:val="22"/>
        </w:rPr>
        <w:t xml:space="preserve">the </w:t>
      </w:r>
      <w:r w:rsidRPr="00A81691">
        <w:rPr>
          <w:sz w:val="22"/>
          <w:szCs w:val="22"/>
        </w:rPr>
        <w:t>MWC</w:t>
      </w:r>
      <w:r w:rsidR="00CC5B17">
        <w:rPr>
          <w:sz w:val="22"/>
          <w:szCs w:val="22"/>
        </w:rPr>
        <w:t>, however</w:t>
      </w:r>
      <w:r w:rsidRPr="00A81691">
        <w:rPr>
          <w:sz w:val="22"/>
          <w:szCs w:val="22"/>
        </w:rPr>
        <w:t xml:space="preserve"> </w:t>
      </w:r>
      <w:r w:rsidR="00CC5B17">
        <w:rPr>
          <w:sz w:val="22"/>
          <w:szCs w:val="22"/>
        </w:rPr>
        <w:t>p</w:t>
      </w:r>
      <w:r w:rsidRPr="00A81691">
        <w:rPr>
          <w:sz w:val="22"/>
          <w:szCs w:val="22"/>
        </w:rPr>
        <w:t>rojects that extend across the</w:t>
      </w:r>
      <w:r w:rsidR="00CC5B17">
        <w:rPr>
          <w:sz w:val="22"/>
          <w:szCs w:val="22"/>
        </w:rPr>
        <w:t xml:space="preserve"> Metabolic Health and/or Infectious Disease</w:t>
      </w:r>
      <w:r w:rsidRPr="00A81691">
        <w:rPr>
          <w:sz w:val="22"/>
          <w:szCs w:val="22"/>
        </w:rPr>
        <w:t xml:space="preserve"> themes </w:t>
      </w:r>
      <w:r w:rsidR="00F042D6">
        <w:rPr>
          <w:sz w:val="22"/>
          <w:szCs w:val="22"/>
        </w:rPr>
        <w:t>will also be supported</w:t>
      </w:r>
      <w:r w:rsidRPr="00A81691">
        <w:rPr>
          <w:sz w:val="22"/>
          <w:szCs w:val="22"/>
        </w:rPr>
        <w:t>. Priority will be given to collaborative projects that connect expertise from across the MWC network.</w:t>
      </w:r>
    </w:p>
    <w:p w14:paraId="48219D93" w14:textId="77777777" w:rsidR="00195A0A" w:rsidRDefault="00195A0A" w:rsidP="002E3F4F">
      <w:pPr>
        <w:pStyle w:val="ListMWC"/>
        <w:numPr>
          <w:ilvl w:val="0"/>
          <w:numId w:val="31"/>
        </w:numPr>
        <w:rPr>
          <w:sz w:val="22"/>
          <w:szCs w:val="22"/>
        </w:rPr>
      </w:pPr>
      <w:r w:rsidRPr="007F3F96">
        <w:rPr>
          <w:sz w:val="22"/>
          <w:szCs w:val="22"/>
          <w:lang w:eastAsia="en-US"/>
        </w:rPr>
        <w:t>If you are unsure of how your project fits within these themes you are welcome to send a query to the leadership team</w:t>
      </w:r>
      <w:r w:rsidRPr="007F3F96">
        <w:rPr>
          <w:sz w:val="22"/>
          <w:szCs w:val="22"/>
        </w:rPr>
        <w:t xml:space="preserve"> via </w:t>
      </w:r>
      <w:hyperlink r:id="rId14" w:history="1">
        <w:r w:rsidRPr="00F139D8">
          <w:rPr>
            <w:sz w:val="22"/>
            <w:szCs w:val="22"/>
          </w:rPr>
          <w:t>maurice-wilkins-centre@auckland.ac.nz</w:t>
        </w:r>
      </w:hyperlink>
    </w:p>
    <w:p w14:paraId="4CA6E273" w14:textId="77777777" w:rsidR="00195A0A" w:rsidRPr="002E3F4F" w:rsidRDefault="00195A0A" w:rsidP="002E3F4F">
      <w:pPr>
        <w:pStyle w:val="ListMWC"/>
        <w:numPr>
          <w:ilvl w:val="0"/>
          <w:numId w:val="0"/>
        </w:numPr>
        <w:ind w:left="720"/>
        <w:rPr>
          <w:sz w:val="16"/>
          <w:szCs w:val="16"/>
        </w:rPr>
      </w:pPr>
    </w:p>
    <w:p w14:paraId="394A2BA5" w14:textId="77777777" w:rsidR="00195A0A" w:rsidRDefault="00195A0A" w:rsidP="002E3F4F">
      <w:pPr>
        <w:pStyle w:val="Arialnormal"/>
        <w:rPr>
          <w:b/>
          <w:bCs/>
        </w:rPr>
      </w:pPr>
      <w:r w:rsidRPr="004B6CA6">
        <w:rPr>
          <w:b/>
          <w:bCs/>
        </w:rPr>
        <w:t>Budgeting:</w:t>
      </w:r>
    </w:p>
    <w:p w14:paraId="6D7938EC" w14:textId="0C74F70F" w:rsidR="00195A0A" w:rsidRDefault="00F042D6" w:rsidP="002E3F4F">
      <w:pPr>
        <w:pStyle w:val="Arialnormal"/>
        <w:numPr>
          <w:ilvl w:val="0"/>
          <w:numId w:val="17"/>
        </w:numPr>
      </w:pPr>
      <w:bookmarkStart w:id="3" w:name="_Hlk182494337"/>
      <w:r w:rsidRPr="004E77AE">
        <w:t>Two</w:t>
      </w:r>
      <w:r w:rsidR="002C6FB2" w:rsidRPr="004E77AE">
        <w:t xml:space="preserve"> to three large projects </w:t>
      </w:r>
      <w:r w:rsidRPr="004E77AE">
        <w:t>($200</w:t>
      </w:r>
      <w:r w:rsidR="00031F27" w:rsidRPr="004E77AE">
        <w:t>,000</w:t>
      </w:r>
      <w:r w:rsidRPr="004E77AE">
        <w:t>+</w:t>
      </w:r>
      <w:r w:rsidR="00F92DC6" w:rsidRPr="004E77AE">
        <w:t xml:space="preserve"> per year</w:t>
      </w:r>
      <w:r w:rsidR="00871E7C" w:rsidRPr="004E77AE">
        <w:t xml:space="preserve"> for up to 2.5 years</w:t>
      </w:r>
      <w:r w:rsidRPr="004E77AE">
        <w:t>)</w:t>
      </w:r>
      <w:r w:rsidR="002C6FB2" w:rsidRPr="004E77AE">
        <w:t xml:space="preserve"> will be funded, while the remainder of the budget will be allocated to medium-sized projects </w:t>
      </w:r>
      <w:r w:rsidR="00F92DC6" w:rsidRPr="004E77AE">
        <w:t>(</w:t>
      </w:r>
      <w:r w:rsidRPr="004E77AE">
        <w:t>$50-100</w:t>
      </w:r>
      <w:r w:rsidR="00031F27" w:rsidRPr="004E77AE">
        <w:t>,000</w:t>
      </w:r>
      <w:r w:rsidR="00F92DC6" w:rsidRPr="004E77AE">
        <w:t xml:space="preserve"> per year</w:t>
      </w:r>
      <w:r w:rsidR="00871E7C" w:rsidRPr="004E77AE">
        <w:t xml:space="preserve"> for up to 2.5 years</w:t>
      </w:r>
      <w:r w:rsidR="00F92DC6" w:rsidRPr="004E77AE">
        <w:t>)</w:t>
      </w:r>
      <w:r w:rsidR="002C6FB2" w:rsidRPr="004E77AE">
        <w:t>.</w:t>
      </w:r>
      <w:r w:rsidR="004E77AE">
        <w:t xml:space="preserve"> A</w:t>
      </w:r>
      <w:r w:rsidR="004E77AE" w:rsidRPr="004E77AE">
        <w:t xml:space="preserve"> proportion of funding is reserved for projects that specifically address Māori or Pacific health.</w:t>
      </w:r>
      <w:r w:rsidR="00031F27">
        <w:t xml:space="preserve"> Projects under $50,000 are encouraged to apply for the Flexible Funding Rounds instead</w:t>
      </w:r>
      <w:r w:rsidR="00195A0A" w:rsidRPr="004B6CA6">
        <w:t>.</w:t>
      </w:r>
    </w:p>
    <w:p w14:paraId="5E89A9B9" w14:textId="77777777" w:rsidR="00195A0A" w:rsidRDefault="00195A0A" w:rsidP="002E3F4F">
      <w:pPr>
        <w:pStyle w:val="ListMWC"/>
        <w:numPr>
          <w:ilvl w:val="0"/>
          <w:numId w:val="17"/>
        </w:numPr>
        <w:rPr>
          <w:sz w:val="22"/>
          <w:szCs w:val="22"/>
        </w:rPr>
      </w:pPr>
      <w:r w:rsidRPr="004B6CA6">
        <w:rPr>
          <w:sz w:val="22"/>
          <w:szCs w:val="22"/>
        </w:rPr>
        <w:t>Partial funding may be offered in cases where the assessment team considers it appropriate.</w:t>
      </w:r>
    </w:p>
    <w:p w14:paraId="6240FEF0" w14:textId="77777777" w:rsidR="00195A0A" w:rsidRDefault="00195A0A" w:rsidP="002E3F4F">
      <w:pPr>
        <w:pStyle w:val="ListMWC"/>
        <w:numPr>
          <w:ilvl w:val="0"/>
          <w:numId w:val="17"/>
        </w:numPr>
        <w:rPr>
          <w:sz w:val="22"/>
          <w:szCs w:val="22"/>
        </w:rPr>
      </w:pPr>
      <w:r w:rsidRPr="00B00AEB">
        <w:rPr>
          <w:sz w:val="22"/>
          <w:szCs w:val="22"/>
        </w:rPr>
        <w:t>The Project Review Committee will not fund any costs that it considers are not directly required for the project to take place</w:t>
      </w:r>
      <w:r>
        <w:rPr>
          <w:sz w:val="22"/>
          <w:szCs w:val="22"/>
        </w:rPr>
        <w:t>.</w:t>
      </w:r>
    </w:p>
    <w:p w14:paraId="3C25A6B4" w14:textId="188B27C1" w:rsidR="00F92DC6" w:rsidRPr="00F92DC6" w:rsidRDefault="00F92DC6" w:rsidP="00F92DC6">
      <w:pPr>
        <w:pStyle w:val="ListMWC"/>
        <w:numPr>
          <w:ilvl w:val="0"/>
          <w:numId w:val="17"/>
        </w:numPr>
        <w:tabs>
          <w:tab w:val="left" w:pos="720"/>
        </w:tabs>
        <w:rPr>
          <w:sz w:val="22"/>
          <w:szCs w:val="22"/>
        </w:rPr>
      </w:pPr>
      <w:r>
        <w:rPr>
          <w:sz w:val="22"/>
          <w:szCs w:val="22"/>
        </w:rPr>
        <w:t>Annual milestones must be met and reports provided, or funding for subsequent years may be delayed.</w:t>
      </w:r>
    </w:p>
    <w:p w14:paraId="72812A21" w14:textId="77777777" w:rsidR="00195A0A" w:rsidRDefault="00195A0A" w:rsidP="002E3F4F">
      <w:pPr>
        <w:pStyle w:val="Arialnormal"/>
      </w:pPr>
    </w:p>
    <w:p w14:paraId="603A383C" w14:textId="77777777" w:rsidR="00195A0A" w:rsidRPr="00A81691" w:rsidRDefault="00195A0A" w:rsidP="002E3F4F">
      <w:pPr>
        <w:pStyle w:val="Arialnormal"/>
      </w:pPr>
      <w:r w:rsidRPr="00A81691">
        <w:t xml:space="preserve">Eligible costs </w:t>
      </w:r>
      <w:r>
        <w:t>that will be considered for funding</w:t>
      </w:r>
    </w:p>
    <w:p w14:paraId="348C4691" w14:textId="75ACEB55" w:rsidR="00195A0A" w:rsidRDefault="00195A0A" w:rsidP="002E3F4F">
      <w:pPr>
        <w:pStyle w:val="ListMWC"/>
        <w:numPr>
          <w:ilvl w:val="0"/>
          <w:numId w:val="18"/>
        </w:numPr>
        <w:rPr>
          <w:sz w:val="22"/>
          <w:szCs w:val="22"/>
        </w:rPr>
      </w:pPr>
      <w:bookmarkStart w:id="4" w:name="_Hlk182495413"/>
      <w:r w:rsidRPr="00A81691">
        <w:rPr>
          <w:sz w:val="22"/>
          <w:szCs w:val="22"/>
        </w:rPr>
        <w:t>Direct research costs</w:t>
      </w:r>
      <w:r>
        <w:rPr>
          <w:sz w:val="22"/>
          <w:szCs w:val="22"/>
        </w:rPr>
        <w:t xml:space="preserve"> associated with the project</w:t>
      </w:r>
      <w:r w:rsidR="00BA5BA3">
        <w:rPr>
          <w:sz w:val="22"/>
          <w:szCs w:val="22"/>
        </w:rPr>
        <w:t>.</w:t>
      </w:r>
    </w:p>
    <w:p w14:paraId="6AAF2B68" w14:textId="63FC0622" w:rsidR="002807A2" w:rsidRDefault="002807A2" w:rsidP="002E3F4F">
      <w:pPr>
        <w:pStyle w:val="ListMWC"/>
        <w:numPr>
          <w:ilvl w:val="0"/>
          <w:numId w:val="18"/>
        </w:numPr>
        <w:rPr>
          <w:sz w:val="22"/>
          <w:szCs w:val="22"/>
        </w:rPr>
      </w:pPr>
      <w:r>
        <w:rPr>
          <w:sz w:val="22"/>
          <w:szCs w:val="22"/>
        </w:rPr>
        <w:t>Salaries for research staff working on the project</w:t>
      </w:r>
      <w:r w:rsidR="004F4F1A">
        <w:rPr>
          <w:sz w:val="22"/>
          <w:szCs w:val="22"/>
        </w:rPr>
        <w:t xml:space="preserve"> who do not hold permanent academic appointments</w:t>
      </w:r>
      <w:r>
        <w:rPr>
          <w:sz w:val="22"/>
          <w:szCs w:val="22"/>
        </w:rPr>
        <w:t>.</w:t>
      </w:r>
      <w:r w:rsidRPr="002807A2">
        <w:t xml:space="preserve"> </w:t>
      </w:r>
      <w:r w:rsidRPr="00AF121A">
        <w:rPr>
          <w:b/>
          <w:bCs/>
          <w:sz w:val="22"/>
          <w:szCs w:val="22"/>
        </w:rPr>
        <w:t>Note that any salary component will be liable for full overheads</w:t>
      </w:r>
      <w:r>
        <w:rPr>
          <w:b/>
          <w:bCs/>
          <w:sz w:val="22"/>
          <w:szCs w:val="22"/>
        </w:rPr>
        <w:t xml:space="preserve"> as required by the home institution of the Principal Investigator</w:t>
      </w:r>
      <w:r w:rsidRPr="002807A2">
        <w:rPr>
          <w:sz w:val="22"/>
          <w:szCs w:val="22"/>
        </w:rPr>
        <w:t>. If the majority of the budget requested is for salary, evidence</w:t>
      </w:r>
      <w:r>
        <w:rPr>
          <w:sz w:val="22"/>
          <w:szCs w:val="22"/>
        </w:rPr>
        <w:t xml:space="preserve"> will be required to show</w:t>
      </w:r>
      <w:r w:rsidRPr="002807A2">
        <w:rPr>
          <w:sz w:val="22"/>
          <w:szCs w:val="22"/>
        </w:rPr>
        <w:t xml:space="preserve"> </w:t>
      </w:r>
      <w:r w:rsidRPr="002807A2">
        <w:rPr>
          <w:sz w:val="22"/>
          <w:szCs w:val="22"/>
        </w:rPr>
        <w:lastRenderedPageBreak/>
        <w:t xml:space="preserve">that </w:t>
      </w:r>
      <w:r w:rsidR="004F4F1A">
        <w:rPr>
          <w:sz w:val="22"/>
          <w:szCs w:val="22"/>
        </w:rPr>
        <w:t>the salary</w:t>
      </w:r>
      <w:r w:rsidRPr="002807A2">
        <w:rPr>
          <w:sz w:val="22"/>
          <w:szCs w:val="22"/>
        </w:rPr>
        <w:t xml:space="preserve"> funding is </w:t>
      </w:r>
      <w:r w:rsidR="00F526DD">
        <w:rPr>
          <w:sz w:val="22"/>
          <w:szCs w:val="22"/>
        </w:rPr>
        <w:t>essential</w:t>
      </w:r>
      <w:r w:rsidRPr="002807A2">
        <w:rPr>
          <w:sz w:val="22"/>
          <w:szCs w:val="22"/>
        </w:rPr>
        <w:t xml:space="preserve"> to complete the described project</w:t>
      </w:r>
      <w:r w:rsidR="00F526DD">
        <w:rPr>
          <w:sz w:val="22"/>
          <w:szCs w:val="22"/>
        </w:rPr>
        <w:t xml:space="preserve"> and that </w:t>
      </w:r>
      <w:r w:rsidR="00821966">
        <w:rPr>
          <w:sz w:val="22"/>
          <w:szCs w:val="22"/>
        </w:rPr>
        <w:t>supplementary</w:t>
      </w:r>
      <w:r w:rsidR="00F526DD">
        <w:rPr>
          <w:sz w:val="22"/>
          <w:szCs w:val="22"/>
        </w:rPr>
        <w:t xml:space="preserve"> funding sources are in place for other required aspects of the project</w:t>
      </w:r>
      <w:r w:rsidRPr="002807A2">
        <w:rPr>
          <w:sz w:val="22"/>
          <w:szCs w:val="22"/>
        </w:rPr>
        <w:t>.</w:t>
      </w:r>
      <w:r>
        <w:rPr>
          <w:sz w:val="22"/>
          <w:szCs w:val="22"/>
        </w:rPr>
        <w:t xml:space="preserve"> </w:t>
      </w:r>
    </w:p>
    <w:bookmarkEnd w:id="4"/>
    <w:p w14:paraId="047BEA51" w14:textId="0BDEB172" w:rsidR="00195A0A" w:rsidRDefault="00195A0A" w:rsidP="002E3F4F">
      <w:pPr>
        <w:pStyle w:val="ListMWC"/>
        <w:numPr>
          <w:ilvl w:val="0"/>
          <w:numId w:val="18"/>
        </w:numPr>
        <w:rPr>
          <w:sz w:val="22"/>
          <w:szCs w:val="22"/>
        </w:rPr>
      </w:pPr>
      <w:r>
        <w:rPr>
          <w:sz w:val="22"/>
          <w:szCs w:val="22"/>
        </w:rPr>
        <w:t>C</w:t>
      </w:r>
      <w:r w:rsidRPr="00A81691">
        <w:rPr>
          <w:sz w:val="22"/>
          <w:szCs w:val="22"/>
        </w:rPr>
        <w:t xml:space="preserve">osts </w:t>
      </w:r>
      <w:r>
        <w:rPr>
          <w:sz w:val="22"/>
          <w:szCs w:val="22"/>
        </w:rPr>
        <w:t xml:space="preserve">for </w:t>
      </w:r>
      <w:r w:rsidRPr="00A81691">
        <w:rPr>
          <w:sz w:val="22"/>
          <w:szCs w:val="22"/>
        </w:rPr>
        <w:t>the u</w:t>
      </w:r>
      <w:r w:rsidR="00F92DC6">
        <w:rPr>
          <w:sz w:val="22"/>
          <w:szCs w:val="22"/>
        </w:rPr>
        <w:t>se</w:t>
      </w:r>
      <w:r w:rsidRPr="00A81691">
        <w:rPr>
          <w:sz w:val="22"/>
          <w:szCs w:val="22"/>
        </w:rPr>
        <w:t xml:space="preserve"> of specific facilities</w:t>
      </w:r>
      <w:r>
        <w:rPr>
          <w:sz w:val="22"/>
          <w:szCs w:val="22"/>
        </w:rPr>
        <w:t xml:space="preserve"> or </w:t>
      </w:r>
      <w:r w:rsidRPr="00A81691">
        <w:rPr>
          <w:sz w:val="22"/>
          <w:szCs w:val="22"/>
        </w:rPr>
        <w:t xml:space="preserve">equipment </w:t>
      </w:r>
      <w:r w:rsidRPr="00EA1F72">
        <w:rPr>
          <w:sz w:val="22"/>
          <w:szCs w:val="22"/>
        </w:rPr>
        <w:t>across New Zealand that are listed in the ‘Equipment, facilities, and services register’ in the members section of the MWC website</w:t>
      </w:r>
      <w:r w:rsidR="00505AA6">
        <w:rPr>
          <w:sz w:val="22"/>
          <w:szCs w:val="22"/>
        </w:rPr>
        <w:t>*</w:t>
      </w:r>
      <w:r w:rsidRPr="00EC625D">
        <w:rPr>
          <w:sz w:val="22"/>
          <w:szCs w:val="22"/>
        </w:rPr>
        <w:t xml:space="preserve"> </w:t>
      </w:r>
    </w:p>
    <w:p w14:paraId="20D8DD66" w14:textId="173E5997" w:rsidR="00195A0A" w:rsidRDefault="00195A0A" w:rsidP="002E3F4F">
      <w:pPr>
        <w:pStyle w:val="ListMWC"/>
        <w:numPr>
          <w:ilvl w:val="0"/>
          <w:numId w:val="0"/>
        </w:numPr>
        <w:ind w:left="720"/>
        <w:rPr>
          <w:sz w:val="22"/>
          <w:szCs w:val="22"/>
        </w:rPr>
      </w:pPr>
      <w:r>
        <w:rPr>
          <w:sz w:val="22"/>
          <w:szCs w:val="22"/>
        </w:rPr>
        <w:t xml:space="preserve">These costs </w:t>
      </w:r>
      <w:r w:rsidRPr="00A81691">
        <w:rPr>
          <w:sz w:val="22"/>
          <w:szCs w:val="22"/>
        </w:rPr>
        <w:t xml:space="preserve">must be fully justified and can cover facility or equipment charges, including charges for dedicated operators for a maximum of two years </w:t>
      </w:r>
      <w:r>
        <w:rPr>
          <w:sz w:val="22"/>
          <w:szCs w:val="22"/>
        </w:rPr>
        <w:t>(</w:t>
      </w:r>
      <w:r w:rsidRPr="00A81691">
        <w:rPr>
          <w:sz w:val="22"/>
          <w:szCs w:val="22"/>
        </w:rPr>
        <w:t>A dedicated operator is a person who is employed by the facility to run the equipment as a service and is paid by the facility</w:t>
      </w:r>
      <w:r>
        <w:rPr>
          <w:sz w:val="22"/>
          <w:szCs w:val="22"/>
        </w:rPr>
        <w:t>). Q</w:t>
      </w:r>
      <w:r w:rsidRPr="00B00AEB">
        <w:rPr>
          <w:sz w:val="22"/>
          <w:szCs w:val="22"/>
        </w:rPr>
        <w:t>uotations or estimates of costs from the facility or service provider should be submitted with your application</w:t>
      </w:r>
      <w:r w:rsidR="00BA5BA3">
        <w:rPr>
          <w:sz w:val="22"/>
          <w:szCs w:val="22"/>
        </w:rPr>
        <w:t>.</w:t>
      </w:r>
    </w:p>
    <w:p w14:paraId="3AB25FD5" w14:textId="51A5A3A0" w:rsidR="00195A0A" w:rsidRDefault="00195A0A" w:rsidP="002E3F4F">
      <w:pPr>
        <w:pStyle w:val="ListMWC"/>
        <w:numPr>
          <w:ilvl w:val="0"/>
          <w:numId w:val="18"/>
        </w:numPr>
        <w:rPr>
          <w:sz w:val="22"/>
          <w:szCs w:val="22"/>
        </w:rPr>
      </w:pPr>
      <w:r>
        <w:rPr>
          <w:sz w:val="22"/>
          <w:szCs w:val="22"/>
        </w:rPr>
        <w:t>Costs for the u</w:t>
      </w:r>
      <w:r w:rsidR="00F92DC6">
        <w:rPr>
          <w:sz w:val="22"/>
          <w:szCs w:val="22"/>
        </w:rPr>
        <w:t>se</w:t>
      </w:r>
      <w:r>
        <w:rPr>
          <w:sz w:val="22"/>
          <w:szCs w:val="22"/>
        </w:rPr>
        <w:t xml:space="preserve"> of international faci</w:t>
      </w:r>
      <w:r w:rsidRPr="00E66AFC">
        <w:rPr>
          <w:sz w:val="22"/>
          <w:szCs w:val="22"/>
        </w:rPr>
        <w:t>l</w:t>
      </w:r>
      <w:r>
        <w:rPr>
          <w:sz w:val="22"/>
          <w:szCs w:val="22"/>
        </w:rPr>
        <w:t xml:space="preserve">ities </w:t>
      </w:r>
      <w:r w:rsidRPr="00EA1F72">
        <w:rPr>
          <w:sz w:val="22"/>
          <w:szCs w:val="22"/>
        </w:rPr>
        <w:t>where these services are either not currently available in New Zealand and/or where a compelling justification can be made for accessing the services from an international facility.</w:t>
      </w:r>
      <w:r>
        <w:rPr>
          <w:sz w:val="22"/>
          <w:szCs w:val="22"/>
        </w:rPr>
        <w:t xml:space="preserve"> If utilising international facilities for data collection, please state if the access fees are at academic or commercial rate.</w:t>
      </w:r>
    </w:p>
    <w:p w14:paraId="681336AF" w14:textId="0121CBA2" w:rsidR="00195A0A" w:rsidRPr="00A81691" w:rsidRDefault="00195A0A" w:rsidP="002E3F4F">
      <w:pPr>
        <w:pStyle w:val="ListMWC"/>
        <w:numPr>
          <w:ilvl w:val="0"/>
          <w:numId w:val="19"/>
        </w:numPr>
        <w:rPr>
          <w:sz w:val="22"/>
          <w:szCs w:val="22"/>
        </w:rPr>
      </w:pPr>
      <w:r>
        <w:rPr>
          <w:sz w:val="22"/>
          <w:szCs w:val="22"/>
        </w:rPr>
        <w:t>Costs to u</w:t>
      </w:r>
      <w:r w:rsidR="00F92DC6">
        <w:rPr>
          <w:sz w:val="22"/>
          <w:szCs w:val="22"/>
        </w:rPr>
        <w:t>se</w:t>
      </w:r>
      <w:r>
        <w:rPr>
          <w:sz w:val="22"/>
          <w:szCs w:val="22"/>
        </w:rPr>
        <w:t xml:space="preserve"> </w:t>
      </w:r>
      <w:r w:rsidRPr="00BA2A82">
        <w:rPr>
          <w:sz w:val="22"/>
          <w:szCs w:val="22"/>
        </w:rPr>
        <w:t xml:space="preserve">facilities or equipment based within an investigator’s own lab as long as these facilities meet the MWC eligibility criteria and </w:t>
      </w:r>
      <w:r w:rsidRPr="00EA1F72">
        <w:rPr>
          <w:sz w:val="22"/>
          <w:szCs w:val="22"/>
        </w:rPr>
        <w:t>are listed in the ‘Equipment, facilities, and services register’ in the members section of the MWC website</w:t>
      </w:r>
      <w:r w:rsidR="00505AA6">
        <w:rPr>
          <w:sz w:val="22"/>
          <w:szCs w:val="22"/>
        </w:rPr>
        <w:t>*</w:t>
      </w:r>
      <w:r w:rsidR="00BA5BA3">
        <w:rPr>
          <w:sz w:val="22"/>
          <w:szCs w:val="22"/>
        </w:rPr>
        <w:t>.</w:t>
      </w:r>
      <w:r w:rsidRPr="00E66AFC" w:rsidDel="00BA2A82">
        <w:rPr>
          <w:sz w:val="22"/>
          <w:szCs w:val="22"/>
        </w:rPr>
        <w:t xml:space="preserve"> </w:t>
      </w:r>
    </w:p>
    <w:p w14:paraId="4425BC47" w14:textId="77777777" w:rsidR="00195A0A" w:rsidRPr="00BA2A82" w:rsidRDefault="00195A0A" w:rsidP="002E3F4F">
      <w:pPr>
        <w:pStyle w:val="ListMWC"/>
        <w:numPr>
          <w:ilvl w:val="0"/>
          <w:numId w:val="19"/>
        </w:numPr>
        <w:rPr>
          <w:sz w:val="22"/>
          <w:szCs w:val="22"/>
        </w:rPr>
      </w:pPr>
      <w:r w:rsidRPr="00BA2A82">
        <w:rPr>
          <w:sz w:val="22"/>
          <w:szCs w:val="22"/>
        </w:rPr>
        <w:t>Modest requests for domestic or trans-Tasman travel essential for collaborations or to use facilities or equipment. These should be specifically justified in the budget summary.</w:t>
      </w:r>
    </w:p>
    <w:p w14:paraId="76B4CE6D" w14:textId="3F8853E5" w:rsidR="00195A0A" w:rsidRPr="004B6CA6" w:rsidRDefault="00195A0A" w:rsidP="002E3F4F">
      <w:pPr>
        <w:pStyle w:val="ListMWC"/>
        <w:numPr>
          <w:ilvl w:val="0"/>
          <w:numId w:val="19"/>
        </w:numPr>
        <w:rPr>
          <w:sz w:val="22"/>
          <w:szCs w:val="22"/>
        </w:rPr>
      </w:pPr>
      <w:r w:rsidRPr="004B6CA6">
        <w:rPr>
          <w:sz w:val="22"/>
          <w:szCs w:val="22"/>
        </w:rPr>
        <w:t xml:space="preserve">Publication costs may be funded </w:t>
      </w:r>
      <w:r w:rsidR="00F92DC6">
        <w:rPr>
          <w:sz w:val="22"/>
          <w:szCs w:val="22"/>
        </w:rPr>
        <w:t xml:space="preserve">or part-funded </w:t>
      </w:r>
      <w:r w:rsidRPr="004B6CA6">
        <w:rPr>
          <w:sz w:val="22"/>
          <w:szCs w:val="22"/>
        </w:rPr>
        <w:t>on the basis that the manuscripts are published in alignment with the MWC publication guidelines</w:t>
      </w:r>
      <w:r w:rsidR="00BA5BA3">
        <w:rPr>
          <w:sz w:val="22"/>
          <w:szCs w:val="22"/>
        </w:rPr>
        <w:t>.</w:t>
      </w:r>
      <w:r w:rsidRPr="004B6CA6">
        <w:rPr>
          <w:sz w:val="22"/>
          <w:szCs w:val="22"/>
        </w:rPr>
        <w:t xml:space="preserve"> </w:t>
      </w:r>
    </w:p>
    <w:p w14:paraId="11601540" w14:textId="77777777" w:rsidR="00195A0A" w:rsidRPr="005E2517" w:rsidRDefault="00195A0A" w:rsidP="002E3F4F">
      <w:pPr>
        <w:pStyle w:val="ListMWC"/>
        <w:numPr>
          <w:ilvl w:val="0"/>
          <w:numId w:val="0"/>
        </w:numPr>
        <w:ind w:left="567" w:firstLine="153"/>
        <w:rPr>
          <w:sz w:val="22"/>
          <w:szCs w:val="22"/>
        </w:rPr>
      </w:pPr>
      <w:r w:rsidRPr="004B6CA6">
        <w:rPr>
          <w:sz w:val="22"/>
          <w:szCs w:val="22"/>
        </w:rPr>
        <w:t>(</w:t>
      </w:r>
      <w:r w:rsidRPr="005E2517">
        <w:rPr>
          <w:sz w:val="22"/>
          <w:szCs w:val="22"/>
        </w:rPr>
        <w:t xml:space="preserve">see </w:t>
      </w:r>
      <w:hyperlink r:id="rId15" w:history="1">
        <w:r w:rsidRPr="0044070E">
          <w:rPr>
            <w:sz w:val="22"/>
            <w:szCs w:val="22"/>
          </w:rPr>
          <w:t>https://www.mauricewilkinscentre.org/welcome/resources-for-investigators/</w:t>
        </w:r>
      </w:hyperlink>
      <w:r w:rsidRPr="005E2517">
        <w:rPr>
          <w:sz w:val="22"/>
          <w:szCs w:val="22"/>
        </w:rPr>
        <w:t xml:space="preserve">) </w:t>
      </w:r>
    </w:p>
    <w:p w14:paraId="2E1BF039" w14:textId="09725E3E" w:rsidR="00195A0A" w:rsidRDefault="00195A0A" w:rsidP="002E3F4F">
      <w:pPr>
        <w:pStyle w:val="ListMWC"/>
        <w:numPr>
          <w:ilvl w:val="0"/>
          <w:numId w:val="19"/>
        </w:numPr>
        <w:rPr>
          <w:sz w:val="22"/>
          <w:szCs w:val="22"/>
        </w:rPr>
      </w:pPr>
      <w:r>
        <w:rPr>
          <w:sz w:val="22"/>
          <w:szCs w:val="22"/>
        </w:rPr>
        <w:t>Any additional costs should be specifically justified in the budget summary</w:t>
      </w:r>
      <w:r w:rsidR="00BA5BA3">
        <w:rPr>
          <w:sz w:val="22"/>
          <w:szCs w:val="22"/>
        </w:rPr>
        <w:t>.</w:t>
      </w:r>
    </w:p>
    <w:p w14:paraId="00DB887D" w14:textId="77777777" w:rsidR="00195A0A" w:rsidRDefault="00195A0A" w:rsidP="002E3F4F">
      <w:pPr>
        <w:pStyle w:val="ListMWC"/>
        <w:numPr>
          <w:ilvl w:val="0"/>
          <w:numId w:val="0"/>
        </w:numPr>
        <w:ind w:left="1080"/>
        <w:rPr>
          <w:sz w:val="22"/>
          <w:szCs w:val="22"/>
        </w:rPr>
      </w:pPr>
    </w:p>
    <w:p w14:paraId="5512F266" w14:textId="61C44D45" w:rsidR="00195A0A" w:rsidRPr="00E66AFC" w:rsidRDefault="00195A0A" w:rsidP="00821966">
      <w:pPr>
        <w:pStyle w:val="ListMWC"/>
        <w:numPr>
          <w:ilvl w:val="0"/>
          <w:numId w:val="0"/>
        </w:numPr>
        <w:rPr>
          <w:sz w:val="22"/>
          <w:szCs w:val="22"/>
        </w:rPr>
      </w:pPr>
      <w:r>
        <w:rPr>
          <w:sz w:val="22"/>
          <w:szCs w:val="22"/>
        </w:rPr>
        <w:t xml:space="preserve">Ineligible costs that </w:t>
      </w:r>
      <w:r w:rsidRPr="00A81691">
        <w:rPr>
          <w:b/>
          <w:bCs/>
          <w:sz w:val="22"/>
          <w:szCs w:val="22"/>
        </w:rPr>
        <w:t>will not</w:t>
      </w:r>
      <w:r>
        <w:rPr>
          <w:sz w:val="22"/>
          <w:szCs w:val="22"/>
        </w:rPr>
        <w:t xml:space="preserve"> be funded</w:t>
      </w:r>
      <w:r w:rsidR="00757DE4">
        <w:rPr>
          <w:sz w:val="22"/>
          <w:szCs w:val="22"/>
        </w:rPr>
        <w:t xml:space="preserve"> from </w:t>
      </w:r>
      <w:r w:rsidR="002E3F4F">
        <w:rPr>
          <w:sz w:val="22"/>
          <w:szCs w:val="22"/>
        </w:rPr>
        <w:t>‘</w:t>
      </w:r>
      <w:r w:rsidR="00F92DC6">
        <w:rPr>
          <w:sz w:val="22"/>
          <w:szCs w:val="22"/>
        </w:rPr>
        <w:t>Cancer Theme</w:t>
      </w:r>
      <w:r w:rsidR="002E3F4F">
        <w:rPr>
          <w:sz w:val="22"/>
          <w:szCs w:val="22"/>
        </w:rPr>
        <w:t xml:space="preserve"> Research Project Support’</w:t>
      </w:r>
      <w:r w:rsidR="00757DE4">
        <w:rPr>
          <w:sz w:val="22"/>
          <w:szCs w:val="22"/>
        </w:rPr>
        <w:t>:</w:t>
      </w:r>
    </w:p>
    <w:p w14:paraId="52EA1D30" w14:textId="77777777" w:rsidR="00195A0A" w:rsidRPr="004B6CA6" w:rsidRDefault="00195A0A" w:rsidP="002E3F4F">
      <w:pPr>
        <w:pStyle w:val="ListMWC"/>
        <w:numPr>
          <w:ilvl w:val="0"/>
          <w:numId w:val="19"/>
        </w:numPr>
        <w:rPr>
          <w:sz w:val="22"/>
          <w:szCs w:val="22"/>
        </w:rPr>
      </w:pPr>
      <w:r w:rsidRPr="004B6CA6">
        <w:rPr>
          <w:sz w:val="22"/>
          <w:szCs w:val="22"/>
        </w:rPr>
        <w:t xml:space="preserve">Scholarship costs </w:t>
      </w:r>
    </w:p>
    <w:p w14:paraId="7A6E9BC4" w14:textId="77777777" w:rsidR="00195A0A" w:rsidRDefault="00195A0A" w:rsidP="002E3F4F">
      <w:pPr>
        <w:pStyle w:val="Arialnormal"/>
        <w:numPr>
          <w:ilvl w:val="0"/>
          <w:numId w:val="19"/>
        </w:numPr>
      </w:pPr>
      <w:r>
        <w:t>Conference travel</w:t>
      </w:r>
    </w:p>
    <w:p w14:paraId="0770528D" w14:textId="59656AF5" w:rsidR="00F92DC6" w:rsidRPr="002062AB" w:rsidRDefault="00F92DC6" w:rsidP="002E3F4F">
      <w:pPr>
        <w:pStyle w:val="Arialnormal"/>
        <w:numPr>
          <w:ilvl w:val="0"/>
          <w:numId w:val="19"/>
        </w:numPr>
      </w:pPr>
      <w:r>
        <w:t>Workshops or training courses</w:t>
      </w:r>
    </w:p>
    <w:bookmarkEnd w:id="3"/>
    <w:p w14:paraId="005AAC89" w14:textId="77777777" w:rsidR="00195A0A" w:rsidRDefault="00195A0A" w:rsidP="002E3F4F">
      <w:pPr>
        <w:pStyle w:val="Arialnormal"/>
        <w:rPr>
          <w:b/>
          <w:bCs/>
        </w:rPr>
      </w:pPr>
    </w:p>
    <w:p w14:paraId="3199C0D6" w14:textId="77777777" w:rsidR="00195A0A" w:rsidRPr="004B6CA6" w:rsidRDefault="00195A0A" w:rsidP="002E3F4F">
      <w:pPr>
        <w:pStyle w:val="Arialnormal"/>
        <w:rPr>
          <w:b/>
          <w:bCs/>
        </w:rPr>
      </w:pPr>
      <w:r w:rsidRPr="004B6CA6">
        <w:rPr>
          <w:b/>
          <w:bCs/>
        </w:rPr>
        <w:t>Funds available:</w:t>
      </w:r>
    </w:p>
    <w:p w14:paraId="7287AD01" w14:textId="1631FA79" w:rsidR="00195A0A" w:rsidRPr="004B6CA6" w:rsidRDefault="00195A0A" w:rsidP="002E3F4F">
      <w:pPr>
        <w:pStyle w:val="ListMWC"/>
        <w:numPr>
          <w:ilvl w:val="0"/>
          <w:numId w:val="32"/>
        </w:numPr>
        <w:rPr>
          <w:sz w:val="22"/>
          <w:szCs w:val="22"/>
        </w:rPr>
      </w:pPr>
      <w:r w:rsidRPr="004B6CA6">
        <w:rPr>
          <w:sz w:val="22"/>
          <w:szCs w:val="22"/>
        </w:rPr>
        <w:t>Approximately $</w:t>
      </w:r>
      <w:r w:rsidR="00882BF8">
        <w:rPr>
          <w:sz w:val="22"/>
          <w:szCs w:val="22"/>
        </w:rPr>
        <w:t>3</w:t>
      </w:r>
      <w:r w:rsidR="00031F27">
        <w:rPr>
          <w:sz w:val="22"/>
          <w:szCs w:val="22"/>
        </w:rPr>
        <w:t>,000,000</w:t>
      </w:r>
      <w:r w:rsidRPr="004B6CA6">
        <w:rPr>
          <w:sz w:val="22"/>
          <w:szCs w:val="22"/>
        </w:rPr>
        <w:t xml:space="preserve"> </w:t>
      </w:r>
      <w:r w:rsidR="00031F27">
        <w:rPr>
          <w:sz w:val="22"/>
          <w:szCs w:val="22"/>
        </w:rPr>
        <w:t xml:space="preserve">is </w:t>
      </w:r>
      <w:r w:rsidRPr="004B6CA6">
        <w:rPr>
          <w:sz w:val="22"/>
          <w:szCs w:val="22"/>
        </w:rPr>
        <w:t>available in this round from the</w:t>
      </w:r>
      <w:r w:rsidR="00031F27">
        <w:rPr>
          <w:sz w:val="22"/>
          <w:szCs w:val="22"/>
        </w:rPr>
        <w:t xml:space="preserve"> Cancer Theme budget</w:t>
      </w:r>
      <w:r w:rsidRPr="004B6CA6">
        <w:rPr>
          <w:sz w:val="22"/>
          <w:szCs w:val="22"/>
        </w:rPr>
        <w:t xml:space="preserve"> (for all MWC investigators). </w:t>
      </w:r>
    </w:p>
    <w:p w14:paraId="5A04F0BB" w14:textId="597729BD" w:rsidR="00195A0A" w:rsidRPr="004B6CA6" w:rsidRDefault="00195A0A" w:rsidP="002E3F4F">
      <w:pPr>
        <w:pStyle w:val="ListMWC"/>
        <w:numPr>
          <w:ilvl w:val="0"/>
          <w:numId w:val="32"/>
        </w:numPr>
        <w:rPr>
          <w:sz w:val="22"/>
          <w:szCs w:val="22"/>
        </w:rPr>
      </w:pPr>
      <w:r w:rsidRPr="004B6CA6">
        <w:rPr>
          <w:sz w:val="22"/>
          <w:szCs w:val="22"/>
        </w:rPr>
        <w:t>Any unallocated funding from this round will be made available to investigators for future applications</w:t>
      </w:r>
      <w:r w:rsidR="001E2B5B" w:rsidRPr="004E77AE">
        <w:rPr>
          <w:sz w:val="22"/>
          <w:szCs w:val="22"/>
        </w:rPr>
        <w:t>, all funding will be allocated before mid-2028</w:t>
      </w:r>
      <w:r w:rsidRPr="004E77AE">
        <w:rPr>
          <w:sz w:val="22"/>
          <w:szCs w:val="22"/>
        </w:rPr>
        <w:t>.</w:t>
      </w:r>
    </w:p>
    <w:p w14:paraId="0A940908" w14:textId="77777777" w:rsidR="00195A0A" w:rsidRPr="002E3F4F" w:rsidRDefault="00195A0A" w:rsidP="002E3F4F">
      <w:pPr>
        <w:pStyle w:val="ListMWC"/>
        <w:numPr>
          <w:ilvl w:val="0"/>
          <w:numId w:val="0"/>
        </w:numPr>
        <w:ind w:left="567" w:hanging="283"/>
        <w:rPr>
          <w:sz w:val="16"/>
          <w:szCs w:val="16"/>
        </w:rPr>
      </w:pPr>
    </w:p>
    <w:p w14:paraId="6C2B3C3D" w14:textId="77777777" w:rsidR="00195A0A" w:rsidRPr="004B6CA6" w:rsidRDefault="00195A0A" w:rsidP="002E3F4F">
      <w:pPr>
        <w:pStyle w:val="Arialnormal"/>
        <w:rPr>
          <w:b/>
          <w:bCs/>
        </w:rPr>
      </w:pPr>
      <w:r w:rsidRPr="004B6CA6">
        <w:rPr>
          <w:b/>
          <w:bCs/>
        </w:rPr>
        <w:t>Assessment of applications:</w:t>
      </w:r>
    </w:p>
    <w:p w14:paraId="51B2E32D" w14:textId="68A20025" w:rsidR="00195A0A" w:rsidRDefault="00195A0A" w:rsidP="002E3F4F">
      <w:pPr>
        <w:pStyle w:val="Arialnormal"/>
      </w:pPr>
      <w:r w:rsidRPr="00F00935">
        <w:t xml:space="preserve">Applications will be assessed by </w:t>
      </w:r>
      <w:r w:rsidRPr="004E77AE">
        <w:t xml:space="preserve">the </w:t>
      </w:r>
      <w:r w:rsidR="001E2B5B" w:rsidRPr="004E77AE">
        <w:t>Cancer Theme Leadership*</w:t>
      </w:r>
      <w:r w:rsidRPr="004E77AE">
        <w:t xml:space="preserve"> who</w:t>
      </w:r>
      <w:r w:rsidRPr="00F00935">
        <w:t xml:space="preserve"> will score each </w:t>
      </w:r>
      <w:r w:rsidRPr="00742585">
        <w:t>application under two equally weighted areas;</w:t>
      </w:r>
    </w:p>
    <w:p w14:paraId="6FD6DA7A" w14:textId="77777777" w:rsidR="00BA5BA3" w:rsidRPr="00742585" w:rsidRDefault="00BA5BA3" w:rsidP="002E3F4F">
      <w:pPr>
        <w:pStyle w:val="Arialnormal"/>
      </w:pPr>
    </w:p>
    <w:p w14:paraId="1CC0C62F" w14:textId="28202CC7" w:rsidR="00BA5BA3" w:rsidRPr="00BA5BA3" w:rsidRDefault="00BA5BA3" w:rsidP="002E3F4F">
      <w:pPr>
        <w:pStyle w:val="Arialnormal"/>
        <w:numPr>
          <w:ilvl w:val="0"/>
          <w:numId w:val="33"/>
        </w:numPr>
      </w:pPr>
      <w:r w:rsidRPr="00BA5BA3">
        <w:rPr>
          <w:lang w:val="en-NZ"/>
        </w:rPr>
        <w:t>Scien</w:t>
      </w:r>
      <w:r w:rsidR="00F92DC6">
        <w:rPr>
          <w:lang w:val="en-NZ"/>
        </w:rPr>
        <w:t>tific</w:t>
      </w:r>
      <w:r w:rsidRPr="00BA5BA3">
        <w:rPr>
          <w:lang w:val="en-NZ"/>
        </w:rPr>
        <w:t xml:space="preserve"> excellence (50%) including the rationale and plan for the work.</w:t>
      </w:r>
    </w:p>
    <w:p w14:paraId="000E2342" w14:textId="71700327" w:rsidR="00BA5BA3" w:rsidRPr="002E3F4F" w:rsidRDefault="00BA5BA3" w:rsidP="002E3F4F">
      <w:pPr>
        <w:pStyle w:val="Arialnormal"/>
        <w:numPr>
          <w:ilvl w:val="0"/>
          <w:numId w:val="33"/>
        </w:numPr>
      </w:pPr>
      <w:r w:rsidRPr="004E77AE">
        <w:rPr>
          <w:lang w:val="en-NZ"/>
        </w:rPr>
        <w:t>Alignment with the MWC</w:t>
      </w:r>
      <w:r w:rsidR="004520FC" w:rsidRPr="004E77AE">
        <w:rPr>
          <w:lang w:val="en-NZ"/>
        </w:rPr>
        <w:t xml:space="preserve"> Cancer Theme’s milestones and goals as described in the strategic</w:t>
      </w:r>
      <w:r w:rsidRPr="004E77AE">
        <w:rPr>
          <w:lang w:val="en-NZ"/>
        </w:rPr>
        <w:t xml:space="preserve"> </w:t>
      </w:r>
      <w:r w:rsidR="004520FC" w:rsidRPr="004E77AE">
        <w:rPr>
          <w:lang w:val="en-NZ"/>
        </w:rPr>
        <w:t>plan</w:t>
      </w:r>
      <w:r w:rsidR="004520FC">
        <w:rPr>
          <w:lang w:val="en-NZ"/>
        </w:rPr>
        <w:t xml:space="preserve"> </w:t>
      </w:r>
      <w:r w:rsidRPr="00BA5BA3">
        <w:rPr>
          <w:lang w:val="en-NZ"/>
        </w:rPr>
        <w:t>(50%) including development of new initiatives within or across the research themes, contributions to the Māori engagement strategy and/or Pacific research, interdisciplinary collaborative reach</w:t>
      </w:r>
      <w:r w:rsidR="00F526DD">
        <w:rPr>
          <w:lang w:val="en-NZ"/>
        </w:rPr>
        <w:t>, development of clinical reach and collaboration,</w:t>
      </w:r>
      <w:r w:rsidRPr="00BA5BA3">
        <w:rPr>
          <w:lang w:val="en-NZ"/>
        </w:rPr>
        <w:t xml:space="preserve"> and expected impact and outcomes. </w:t>
      </w:r>
    </w:p>
    <w:p w14:paraId="36235350" w14:textId="77777777" w:rsidR="002E3F4F" w:rsidRPr="00BA5BA3" w:rsidRDefault="002E3F4F" w:rsidP="002E3F4F">
      <w:pPr>
        <w:pStyle w:val="Arialnormal"/>
        <w:ind w:left="720"/>
      </w:pPr>
    </w:p>
    <w:p w14:paraId="5CEADB9E" w14:textId="18DD340A" w:rsidR="00195A0A" w:rsidRDefault="00F41049" w:rsidP="002E3F4F">
      <w:pPr>
        <w:pStyle w:val="Arialnormal"/>
        <w:rPr>
          <w:szCs w:val="24"/>
          <w:lang w:val="en-NZ"/>
        </w:rPr>
      </w:pPr>
      <w:r w:rsidRPr="00F41049">
        <w:rPr>
          <w:szCs w:val="24"/>
          <w:lang w:val="en-NZ"/>
        </w:rPr>
        <w:t xml:space="preserve">Proposed projects will </w:t>
      </w:r>
      <w:r>
        <w:rPr>
          <w:szCs w:val="24"/>
          <w:lang w:val="en-NZ"/>
        </w:rPr>
        <w:t xml:space="preserve">also </w:t>
      </w:r>
      <w:r w:rsidRPr="00F41049">
        <w:rPr>
          <w:szCs w:val="24"/>
          <w:lang w:val="en-NZ"/>
        </w:rPr>
        <w:t xml:space="preserve">need to have an appropriate response </w:t>
      </w:r>
      <w:r>
        <w:rPr>
          <w:szCs w:val="24"/>
          <w:lang w:val="en-NZ"/>
        </w:rPr>
        <w:t xml:space="preserve">to the ‘Māori and Pacific Health Advancement sections’ </w:t>
      </w:r>
      <w:r w:rsidRPr="00F41049">
        <w:rPr>
          <w:szCs w:val="24"/>
          <w:lang w:val="en-NZ"/>
        </w:rPr>
        <w:t>before being given approval for funding</w:t>
      </w:r>
      <w:r>
        <w:rPr>
          <w:szCs w:val="24"/>
          <w:lang w:val="en-NZ"/>
        </w:rPr>
        <w:t>.</w:t>
      </w:r>
    </w:p>
    <w:p w14:paraId="46BF1473" w14:textId="77777777" w:rsidR="00F41049" w:rsidRPr="002E3F4F" w:rsidRDefault="00F41049" w:rsidP="002E3F4F">
      <w:pPr>
        <w:pStyle w:val="Arialnormal"/>
        <w:rPr>
          <w:sz w:val="16"/>
          <w:szCs w:val="16"/>
        </w:rPr>
      </w:pPr>
    </w:p>
    <w:p w14:paraId="38F834F5" w14:textId="77777777" w:rsidR="00195A0A" w:rsidRPr="004B6CA6" w:rsidRDefault="00195A0A" w:rsidP="002E3F4F">
      <w:pPr>
        <w:pStyle w:val="Arialnormal"/>
        <w:rPr>
          <w:b/>
          <w:bCs/>
          <w:sz w:val="24"/>
          <w:szCs w:val="24"/>
        </w:rPr>
      </w:pPr>
      <w:r w:rsidRPr="004B6CA6">
        <w:rPr>
          <w:b/>
          <w:bCs/>
          <w:sz w:val="24"/>
          <w:szCs w:val="24"/>
        </w:rPr>
        <w:t xml:space="preserve">Application process  </w:t>
      </w:r>
    </w:p>
    <w:p w14:paraId="25147ECF" w14:textId="77777777" w:rsidR="00195A0A" w:rsidRPr="002E3F4F" w:rsidRDefault="00195A0A" w:rsidP="002E3F4F">
      <w:pPr>
        <w:pStyle w:val="Arialnormal"/>
        <w:rPr>
          <w:sz w:val="16"/>
          <w:szCs w:val="16"/>
        </w:rPr>
      </w:pPr>
    </w:p>
    <w:p w14:paraId="1E51A2F1" w14:textId="0985AF48" w:rsidR="00195A0A" w:rsidRDefault="00195A0A" w:rsidP="002E3F4F">
      <w:pPr>
        <w:pStyle w:val="Arialnormal"/>
      </w:pPr>
      <w:r>
        <w:t>To apply for</w:t>
      </w:r>
      <w:r w:rsidRPr="00E07174">
        <w:t xml:space="preserve"> </w:t>
      </w:r>
      <w:r w:rsidRPr="006E7ADC">
        <w:rPr>
          <w:bCs/>
        </w:rPr>
        <w:t>‘</w:t>
      </w:r>
      <w:r>
        <w:rPr>
          <w:bCs/>
        </w:rPr>
        <w:t xml:space="preserve">MWC </w:t>
      </w:r>
      <w:r w:rsidR="002807A2">
        <w:rPr>
          <w:bCs/>
        </w:rPr>
        <w:t>Cancer Theme</w:t>
      </w:r>
      <w:r w:rsidR="00F92DC6">
        <w:rPr>
          <w:bCs/>
        </w:rPr>
        <w:t xml:space="preserve"> Research</w:t>
      </w:r>
      <w:r w:rsidRPr="00A81691">
        <w:rPr>
          <w:bCs/>
        </w:rPr>
        <w:t xml:space="preserve"> Project support</w:t>
      </w:r>
      <w:r>
        <w:rPr>
          <w:bCs/>
        </w:rPr>
        <w:t>’</w:t>
      </w:r>
      <w:r w:rsidRPr="00A81691">
        <w:rPr>
          <w:bCs/>
        </w:rPr>
        <w:t xml:space="preserve"> </w:t>
      </w:r>
      <w:r>
        <w:t xml:space="preserve">fill in the application form provided with the call document (also available in the members section of the MWC website) </w:t>
      </w:r>
      <w:r>
        <w:lastRenderedPageBreak/>
        <w:t xml:space="preserve">and send by </w:t>
      </w:r>
      <w:r w:rsidRPr="00C62EE7">
        <w:t>email</w:t>
      </w:r>
      <w:r>
        <w:t xml:space="preserve"> along with any supporting documents </w:t>
      </w:r>
      <w:r w:rsidRPr="00085F52">
        <w:t xml:space="preserve">to </w:t>
      </w:r>
      <w:hyperlink r:id="rId16" w:history="1">
        <w:r w:rsidRPr="00085F52">
          <w:rPr>
            <w:rStyle w:val="Hyperlink"/>
          </w:rPr>
          <w:t>maurice-wilkins-centre@auckland.ac.nz</w:t>
        </w:r>
      </w:hyperlink>
      <w:r w:rsidRPr="00085F52">
        <w:t xml:space="preserve"> </w:t>
      </w:r>
      <w:r>
        <w:t xml:space="preserve">by </w:t>
      </w:r>
      <w:r w:rsidRPr="002E3F4F">
        <w:rPr>
          <w:b/>
          <w:bCs/>
          <w:color w:val="0070C0"/>
        </w:rPr>
        <w:t xml:space="preserve">12pm </w:t>
      </w:r>
      <w:r w:rsidR="002807A2">
        <w:rPr>
          <w:b/>
          <w:bCs/>
          <w:color w:val="0070C0"/>
        </w:rPr>
        <w:t>Monday 1</w:t>
      </w:r>
      <w:r w:rsidR="001E2B5B">
        <w:rPr>
          <w:b/>
          <w:bCs/>
          <w:color w:val="0070C0"/>
        </w:rPr>
        <w:t>3</w:t>
      </w:r>
      <w:r w:rsidR="002807A2" w:rsidRPr="00AF121A">
        <w:rPr>
          <w:b/>
          <w:bCs/>
          <w:color w:val="0070C0"/>
          <w:vertAlign w:val="superscript"/>
        </w:rPr>
        <w:t>th</w:t>
      </w:r>
      <w:r w:rsidR="002807A2">
        <w:rPr>
          <w:b/>
          <w:bCs/>
          <w:color w:val="0070C0"/>
        </w:rPr>
        <w:t xml:space="preserve"> </w:t>
      </w:r>
      <w:r w:rsidR="00F526DD">
        <w:rPr>
          <w:b/>
          <w:bCs/>
          <w:color w:val="0070C0"/>
        </w:rPr>
        <w:t>October</w:t>
      </w:r>
      <w:r w:rsidRPr="002E3F4F">
        <w:rPr>
          <w:b/>
          <w:bCs/>
          <w:color w:val="0070C0"/>
        </w:rPr>
        <w:t xml:space="preserve"> 2025</w:t>
      </w:r>
    </w:p>
    <w:p w14:paraId="3CE4C5ED" w14:textId="77777777" w:rsidR="00195A0A" w:rsidRDefault="00195A0A" w:rsidP="002E3F4F">
      <w:pPr>
        <w:pStyle w:val="Arialnormal"/>
      </w:pPr>
    </w:p>
    <w:p w14:paraId="66FD3788" w14:textId="77777777" w:rsidR="00821966" w:rsidRDefault="00821966" w:rsidP="002E3F4F">
      <w:pPr>
        <w:pStyle w:val="Arialnormal"/>
      </w:pPr>
      <w:bookmarkStart w:id="5" w:name="_Hlk116469168"/>
    </w:p>
    <w:p w14:paraId="2F89EECA" w14:textId="5E185838" w:rsidR="00195A0A" w:rsidRPr="00742585" w:rsidRDefault="00195A0A" w:rsidP="002E3F4F">
      <w:pPr>
        <w:pStyle w:val="Arialnormal"/>
      </w:pPr>
      <w:r w:rsidRPr="00742585">
        <w:t>When filling in the application form please note</w:t>
      </w:r>
      <w:r w:rsidR="00BA5BA3">
        <w:t>:</w:t>
      </w:r>
    </w:p>
    <w:p w14:paraId="30A3EAF6" w14:textId="1B48386C" w:rsidR="00F526DD" w:rsidRDefault="00195A0A" w:rsidP="002E3F4F">
      <w:pPr>
        <w:pStyle w:val="Arialnormal"/>
        <w:rPr>
          <w:color w:val="auto"/>
        </w:rPr>
      </w:pPr>
      <w:r w:rsidRPr="00742585">
        <w:rPr>
          <w:color w:val="auto"/>
        </w:rPr>
        <w:t xml:space="preserve">Times New Roman 12 </w:t>
      </w:r>
      <w:r w:rsidR="00BA5BA3">
        <w:rPr>
          <w:color w:val="auto"/>
        </w:rPr>
        <w:t xml:space="preserve">point </w:t>
      </w:r>
      <w:r w:rsidR="00F526DD">
        <w:rPr>
          <w:color w:val="auto"/>
        </w:rPr>
        <w:t xml:space="preserve">should be used. </w:t>
      </w:r>
      <w:r w:rsidRPr="00742585">
        <w:rPr>
          <w:color w:val="auto"/>
        </w:rPr>
        <w:t>If a page/paragraph limit is noted for any section please do not exceed this limit. Page limits include any figures</w:t>
      </w:r>
      <w:r w:rsidR="00F526DD">
        <w:rPr>
          <w:color w:val="auto"/>
        </w:rPr>
        <w:t>,</w:t>
      </w:r>
      <w:r w:rsidRPr="00742585">
        <w:rPr>
          <w:color w:val="auto"/>
        </w:rPr>
        <w:t xml:space="preserve"> diagrams</w:t>
      </w:r>
      <w:r w:rsidR="00F526DD">
        <w:rPr>
          <w:color w:val="auto"/>
        </w:rPr>
        <w:t xml:space="preserve"> or tables</w:t>
      </w:r>
      <w:r w:rsidR="00BA5BA3">
        <w:rPr>
          <w:color w:val="auto"/>
        </w:rPr>
        <w:t>.</w:t>
      </w:r>
      <w:r w:rsidRPr="00742585">
        <w:rPr>
          <w:color w:val="auto"/>
        </w:rPr>
        <w:t xml:space="preserve"> </w:t>
      </w:r>
      <w:r w:rsidR="00BA5BA3">
        <w:rPr>
          <w:color w:val="auto"/>
        </w:rPr>
        <w:t>H</w:t>
      </w:r>
      <w:r w:rsidRPr="00742585">
        <w:rPr>
          <w:color w:val="auto"/>
        </w:rPr>
        <w:t>owever</w:t>
      </w:r>
      <w:r w:rsidR="00BA5BA3">
        <w:rPr>
          <w:color w:val="auto"/>
        </w:rPr>
        <w:t>,</w:t>
      </w:r>
      <w:r w:rsidRPr="00742585">
        <w:rPr>
          <w:color w:val="auto"/>
        </w:rPr>
        <w:t xml:space="preserve"> reference lists can be included in addition to the page limit</w:t>
      </w:r>
      <w:r w:rsidR="00757DE4">
        <w:rPr>
          <w:color w:val="auto"/>
        </w:rPr>
        <w:t xml:space="preserve"> and should include full referencing, including all authors</w:t>
      </w:r>
      <w:r w:rsidRPr="00742585">
        <w:rPr>
          <w:color w:val="auto"/>
        </w:rPr>
        <w:t>. Applications that exceed the limits are likely to be penalised for this.</w:t>
      </w:r>
    </w:p>
    <w:p w14:paraId="170B8388" w14:textId="61885B96" w:rsidR="00195A0A" w:rsidRPr="00742585" w:rsidRDefault="00195A0A" w:rsidP="002E3F4F">
      <w:pPr>
        <w:pStyle w:val="Arialnormal"/>
        <w:rPr>
          <w:color w:val="auto"/>
        </w:rPr>
      </w:pPr>
    </w:p>
    <w:p w14:paraId="7C0CBF68" w14:textId="086EE32A" w:rsidR="00195A0A" w:rsidRDefault="00505AA6" w:rsidP="00505AA6">
      <w:pPr>
        <w:pStyle w:val="ListMWC"/>
        <w:numPr>
          <w:ilvl w:val="0"/>
          <w:numId w:val="0"/>
        </w:numPr>
        <w:rPr>
          <w:b/>
          <w:sz w:val="28"/>
          <w:szCs w:val="28"/>
        </w:rPr>
      </w:pPr>
      <w:bookmarkStart w:id="6" w:name="PRC"/>
      <w:bookmarkStart w:id="7" w:name="_Hlk80109837"/>
      <w:bookmarkEnd w:id="5"/>
      <w:bookmarkEnd w:id="2"/>
      <w:r w:rsidRPr="00505AA6">
        <w:rPr>
          <w:b/>
          <w:sz w:val="28"/>
          <w:szCs w:val="28"/>
        </w:rPr>
        <w:t>*</w:t>
      </w:r>
      <w:r>
        <w:rPr>
          <w:b/>
          <w:sz w:val="28"/>
          <w:szCs w:val="28"/>
        </w:rPr>
        <w:t xml:space="preserve"> Note on MWC ‘Equipment, facilities and services register’</w:t>
      </w:r>
    </w:p>
    <w:p w14:paraId="0B54C42F" w14:textId="77777777" w:rsidR="00505AA6" w:rsidRDefault="00505AA6" w:rsidP="00505AA6">
      <w:pPr>
        <w:pStyle w:val="ListMWC"/>
        <w:numPr>
          <w:ilvl w:val="0"/>
          <w:numId w:val="0"/>
        </w:numPr>
        <w:rPr>
          <w:b/>
          <w:sz w:val="28"/>
          <w:szCs w:val="28"/>
        </w:rPr>
      </w:pPr>
    </w:p>
    <w:p w14:paraId="2C654FD6" w14:textId="18DA7599" w:rsidR="00505AA6" w:rsidRDefault="00505AA6" w:rsidP="00505AA6">
      <w:pPr>
        <w:pStyle w:val="ListMWC"/>
        <w:numPr>
          <w:ilvl w:val="0"/>
          <w:numId w:val="0"/>
        </w:numPr>
        <w:rPr>
          <w:bCs/>
          <w:sz w:val="22"/>
          <w:szCs w:val="22"/>
        </w:rPr>
      </w:pPr>
      <w:r>
        <w:rPr>
          <w:bCs/>
          <w:sz w:val="22"/>
          <w:szCs w:val="22"/>
        </w:rPr>
        <w:t xml:space="preserve">The MWC ‘Equipment, facilities and services register’ can be found at </w:t>
      </w:r>
      <w:hyperlink r:id="rId17" w:history="1">
        <w:r w:rsidRPr="00DE2099">
          <w:rPr>
            <w:rStyle w:val="Hyperlink"/>
            <w:bCs/>
            <w:sz w:val="22"/>
            <w:szCs w:val="22"/>
          </w:rPr>
          <w:t>https://www.mauricewilkinscentre.org/welcome/list-of-equipment-facilities-and-services/</w:t>
        </w:r>
      </w:hyperlink>
      <w:r>
        <w:rPr>
          <w:bCs/>
          <w:sz w:val="22"/>
          <w:szCs w:val="22"/>
        </w:rPr>
        <w:t>.</w:t>
      </w:r>
    </w:p>
    <w:p w14:paraId="1A5B7AA9" w14:textId="77777777" w:rsidR="00505AA6" w:rsidRDefault="00505AA6" w:rsidP="00505AA6">
      <w:pPr>
        <w:pStyle w:val="ListMWC"/>
        <w:numPr>
          <w:ilvl w:val="0"/>
          <w:numId w:val="0"/>
        </w:numPr>
        <w:rPr>
          <w:bCs/>
          <w:sz w:val="22"/>
          <w:szCs w:val="22"/>
        </w:rPr>
      </w:pPr>
    </w:p>
    <w:p w14:paraId="2870A700" w14:textId="7124F61D" w:rsidR="00505AA6" w:rsidRDefault="00505AA6" w:rsidP="00505AA6">
      <w:pPr>
        <w:pStyle w:val="ListMWC"/>
        <w:numPr>
          <w:ilvl w:val="0"/>
          <w:numId w:val="0"/>
        </w:numPr>
        <w:rPr>
          <w:bCs/>
          <w:sz w:val="22"/>
          <w:szCs w:val="22"/>
        </w:rPr>
      </w:pPr>
      <w:r>
        <w:rPr>
          <w:bCs/>
          <w:sz w:val="22"/>
          <w:szCs w:val="22"/>
        </w:rPr>
        <w:t xml:space="preserve">This requires you to log in.  If you do not have your log in details or need help please contact the MWC Ops team via </w:t>
      </w:r>
      <w:hyperlink r:id="rId18" w:history="1">
        <w:r w:rsidRPr="00DE2099">
          <w:rPr>
            <w:rStyle w:val="Hyperlink"/>
            <w:bCs/>
            <w:sz w:val="22"/>
            <w:szCs w:val="22"/>
          </w:rPr>
          <w:t>Maurice-wilkins-centre@auckland.ac.nz</w:t>
        </w:r>
      </w:hyperlink>
      <w:r>
        <w:rPr>
          <w:bCs/>
          <w:sz w:val="22"/>
          <w:szCs w:val="22"/>
        </w:rPr>
        <w:t>.</w:t>
      </w:r>
    </w:p>
    <w:p w14:paraId="52FB2D85" w14:textId="2A6F097F" w:rsidR="00505AA6" w:rsidRPr="0044070E" w:rsidRDefault="00505AA6" w:rsidP="00505AA6">
      <w:pPr>
        <w:pStyle w:val="ListMWC"/>
        <w:numPr>
          <w:ilvl w:val="0"/>
          <w:numId w:val="0"/>
        </w:numPr>
        <w:rPr>
          <w:bCs/>
          <w:sz w:val="22"/>
          <w:szCs w:val="22"/>
        </w:rPr>
      </w:pPr>
      <w:r>
        <w:rPr>
          <w:bCs/>
          <w:sz w:val="22"/>
          <w:szCs w:val="22"/>
        </w:rPr>
        <w:t>Please also contact the team if there is an item of equipment, a facility or service that you would like us to consider adding or you notice some out of date information.</w:t>
      </w:r>
    </w:p>
    <w:p w14:paraId="0313A929" w14:textId="77777777" w:rsidR="00195A0A" w:rsidRDefault="00195A0A" w:rsidP="002062AB">
      <w:pPr>
        <w:pStyle w:val="ListMWC"/>
        <w:numPr>
          <w:ilvl w:val="0"/>
          <w:numId w:val="0"/>
        </w:numPr>
        <w:rPr>
          <w:b/>
          <w:sz w:val="28"/>
          <w:szCs w:val="28"/>
        </w:rPr>
      </w:pPr>
    </w:p>
    <w:p w14:paraId="562FC16A" w14:textId="2B7EA686" w:rsidR="002062AB" w:rsidRPr="004E77AE" w:rsidRDefault="001E2B5B" w:rsidP="002062AB">
      <w:pPr>
        <w:pStyle w:val="ListMWC"/>
        <w:numPr>
          <w:ilvl w:val="0"/>
          <w:numId w:val="0"/>
        </w:numPr>
        <w:rPr>
          <w:b/>
          <w:sz w:val="28"/>
          <w:szCs w:val="28"/>
        </w:rPr>
      </w:pPr>
      <w:r w:rsidRPr="004E77AE">
        <w:rPr>
          <w:b/>
          <w:bCs/>
          <w:sz w:val="28"/>
          <w:szCs w:val="28"/>
        </w:rPr>
        <w:t>*</w:t>
      </w:r>
      <w:r w:rsidR="002062AB" w:rsidRPr="004E77AE">
        <w:rPr>
          <w:b/>
          <w:sz w:val="28"/>
          <w:szCs w:val="28"/>
        </w:rPr>
        <w:t xml:space="preserve">Note on the </w:t>
      </w:r>
      <w:r w:rsidRPr="004E77AE">
        <w:rPr>
          <w:b/>
          <w:sz w:val="28"/>
          <w:szCs w:val="28"/>
        </w:rPr>
        <w:t>Cancer Theme Leadership Group</w:t>
      </w:r>
    </w:p>
    <w:p w14:paraId="40AE68E7" w14:textId="77777777" w:rsidR="00195A0A" w:rsidRPr="004E77AE" w:rsidRDefault="00195A0A" w:rsidP="002062AB">
      <w:pPr>
        <w:pStyle w:val="ListMWC"/>
        <w:numPr>
          <w:ilvl w:val="0"/>
          <w:numId w:val="0"/>
        </w:numPr>
        <w:rPr>
          <w:b/>
          <w:sz w:val="28"/>
          <w:szCs w:val="28"/>
        </w:rPr>
      </w:pPr>
    </w:p>
    <w:bookmarkEnd w:id="6"/>
    <w:p w14:paraId="774A0A7D" w14:textId="4A9B3015" w:rsidR="004B485C" w:rsidRPr="007C3275" w:rsidRDefault="002062AB" w:rsidP="00821966">
      <w:pPr>
        <w:pStyle w:val="ListMWC"/>
        <w:numPr>
          <w:ilvl w:val="0"/>
          <w:numId w:val="0"/>
        </w:numPr>
        <w:rPr>
          <w:sz w:val="22"/>
          <w:szCs w:val="22"/>
        </w:rPr>
      </w:pPr>
      <w:r w:rsidRPr="004E77AE">
        <w:rPr>
          <w:sz w:val="22"/>
          <w:szCs w:val="22"/>
        </w:rPr>
        <w:t>The</w:t>
      </w:r>
      <w:r w:rsidR="00674E85" w:rsidRPr="004E77AE">
        <w:rPr>
          <w:sz w:val="22"/>
          <w:szCs w:val="22"/>
        </w:rPr>
        <w:t xml:space="preserve"> Cancer Theme Leadership Group</w:t>
      </w:r>
      <w:r w:rsidR="001E2B5B" w:rsidRPr="004E77AE">
        <w:rPr>
          <w:sz w:val="22"/>
          <w:szCs w:val="22"/>
        </w:rPr>
        <w:t xml:space="preserve"> will include</w:t>
      </w:r>
      <w:r w:rsidR="00821966" w:rsidRPr="004E77AE">
        <w:rPr>
          <w:sz w:val="22"/>
          <w:szCs w:val="22"/>
        </w:rPr>
        <w:t xml:space="preserve"> </w:t>
      </w:r>
      <w:r w:rsidRPr="004E77AE">
        <w:rPr>
          <w:sz w:val="22"/>
          <w:szCs w:val="22"/>
        </w:rPr>
        <w:t>representati</w:t>
      </w:r>
      <w:r w:rsidR="00DA3894" w:rsidRPr="004E77AE">
        <w:rPr>
          <w:sz w:val="22"/>
          <w:szCs w:val="22"/>
        </w:rPr>
        <w:t>on from the Directorate</w:t>
      </w:r>
      <w:r w:rsidR="00674E85" w:rsidRPr="004E77AE">
        <w:rPr>
          <w:sz w:val="22"/>
          <w:szCs w:val="22"/>
        </w:rPr>
        <w:t xml:space="preserve"> and</w:t>
      </w:r>
      <w:r w:rsidR="00DA3894" w:rsidRPr="004E77AE">
        <w:rPr>
          <w:sz w:val="22"/>
          <w:szCs w:val="22"/>
        </w:rPr>
        <w:t xml:space="preserve"> the Research Leadership Forum</w:t>
      </w:r>
      <w:r w:rsidR="00674E85" w:rsidRPr="004E77AE">
        <w:rPr>
          <w:sz w:val="22"/>
          <w:szCs w:val="22"/>
        </w:rPr>
        <w:t xml:space="preserve">. This committee will </w:t>
      </w:r>
      <w:r w:rsidR="00F526DD" w:rsidRPr="004E77AE">
        <w:rPr>
          <w:sz w:val="22"/>
          <w:szCs w:val="22"/>
        </w:rPr>
        <w:t>make</w:t>
      </w:r>
      <w:r w:rsidR="004B485C" w:rsidRPr="004E77AE">
        <w:rPr>
          <w:sz w:val="22"/>
          <w:szCs w:val="22"/>
        </w:rPr>
        <w:t xml:space="preserve"> funding recommendations to the Directorate and the MWC Board</w:t>
      </w:r>
      <w:r w:rsidR="00674E85" w:rsidRPr="004E77AE">
        <w:rPr>
          <w:sz w:val="22"/>
          <w:szCs w:val="22"/>
        </w:rPr>
        <w:t>.</w:t>
      </w:r>
    </w:p>
    <w:p w14:paraId="6E8145BF" w14:textId="77777777" w:rsidR="004B485C" w:rsidRPr="007C3275" w:rsidRDefault="004B485C" w:rsidP="004B485C">
      <w:pPr>
        <w:pStyle w:val="ListMWC"/>
        <w:numPr>
          <w:ilvl w:val="0"/>
          <w:numId w:val="0"/>
        </w:numPr>
        <w:rPr>
          <w:sz w:val="22"/>
          <w:szCs w:val="22"/>
        </w:rPr>
      </w:pPr>
    </w:p>
    <w:p w14:paraId="705D9B02" w14:textId="6CE93324" w:rsidR="004B485C" w:rsidRDefault="004B485C" w:rsidP="00D674D8">
      <w:pPr>
        <w:pStyle w:val="ListMWC"/>
        <w:numPr>
          <w:ilvl w:val="0"/>
          <w:numId w:val="0"/>
        </w:numPr>
        <w:rPr>
          <w:sz w:val="22"/>
          <w:szCs w:val="22"/>
        </w:rPr>
      </w:pPr>
      <w:r w:rsidRPr="007C3275">
        <w:rPr>
          <w:sz w:val="22"/>
          <w:szCs w:val="22"/>
        </w:rPr>
        <w:t>Conflicts of interest will be declared at each meeting of the committee and appropriate actions taken to mitigate these conflicts of interest during each meeting based on an established MWC process</w:t>
      </w:r>
      <w:r w:rsidR="00F92DC6">
        <w:rPr>
          <w:sz w:val="22"/>
          <w:szCs w:val="22"/>
        </w:rPr>
        <w:t xml:space="preserve"> (see Appendi</w:t>
      </w:r>
      <w:r w:rsidR="003817EA">
        <w:rPr>
          <w:sz w:val="22"/>
          <w:szCs w:val="22"/>
        </w:rPr>
        <w:t>ces</w:t>
      </w:r>
      <w:r w:rsidR="00F92DC6">
        <w:rPr>
          <w:sz w:val="22"/>
          <w:szCs w:val="22"/>
        </w:rPr>
        <w:t xml:space="preserve"> 5</w:t>
      </w:r>
      <w:r w:rsidR="003817EA">
        <w:rPr>
          <w:sz w:val="22"/>
          <w:szCs w:val="22"/>
        </w:rPr>
        <w:t xml:space="preserve"> and 6</w:t>
      </w:r>
      <w:r w:rsidR="00F92DC6">
        <w:rPr>
          <w:sz w:val="22"/>
          <w:szCs w:val="22"/>
        </w:rPr>
        <w:t>)</w:t>
      </w:r>
      <w:r w:rsidRPr="007C3275">
        <w:rPr>
          <w:sz w:val="22"/>
          <w:szCs w:val="22"/>
        </w:rPr>
        <w:t>.</w:t>
      </w:r>
    </w:p>
    <w:p w14:paraId="1D478E8B" w14:textId="77777777" w:rsidR="007B7AC5" w:rsidRDefault="007B7AC5">
      <w:pPr>
        <w:rPr>
          <w:rFonts w:ascii="Arial" w:hAnsi="Arial" w:cs="Arial"/>
          <w:b/>
          <w:bCs/>
          <w:sz w:val="28"/>
          <w:szCs w:val="28"/>
        </w:rPr>
      </w:pPr>
      <w:bookmarkStart w:id="8" w:name="Appendix1"/>
      <w:r>
        <w:rPr>
          <w:rFonts w:ascii="Arial" w:hAnsi="Arial" w:cs="Arial"/>
          <w:b/>
          <w:bCs/>
          <w:sz w:val="28"/>
          <w:szCs w:val="28"/>
        </w:rPr>
        <w:br w:type="page"/>
      </w:r>
    </w:p>
    <w:p w14:paraId="6AD83C9D" w14:textId="13B837F6" w:rsidR="00DA7A87" w:rsidRPr="008D58D7" w:rsidRDefault="00DA7A87" w:rsidP="00DA7A87">
      <w:pPr>
        <w:spacing w:before="120"/>
        <w:rPr>
          <w:rFonts w:ascii="Arial" w:hAnsi="Arial" w:cs="Arial"/>
          <w:b/>
          <w:bCs/>
          <w:sz w:val="28"/>
          <w:szCs w:val="28"/>
        </w:rPr>
      </w:pPr>
      <w:r w:rsidRPr="008D58D7">
        <w:rPr>
          <w:rFonts w:ascii="Arial" w:hAnsi="Arial" w:cs="Arial"/>
          <w:b/>
          <w:bCs/>
          <w:sz w:val="28"/>
          <w:szCs w:val="28"/>
        </w:rPr>
        <w:lastRenderedPageBreak/>
        <w:t>Appendix 1</w:t>
      </w:r>
    </w:p>
    <w:bookmarkEnd w:id="8"/>
    <w:p w14:paraId="237D6960" w14:textId="77777777" w:rsidR="00DA7A87" w:rsidRPr="00312690" w:rsidRDefault="00DA7A87" w:rsidP="00DA7A87">
      <w:pPr>
        <w:spacing w:before="120"/>
      </w:pPr>
    </w:p>
    <w:tbl>
      <w:tblPr>
        <w:tblW w:w="10078"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0078"/>
      </w:tblGrid>
      <w:tr w:rsidR="00DA7A87" w14:paraId="2A5957E2" w14:textId="77777777" w:rsidTr="00C911F2">
        <w:trPr>
          <w:trHeight w:val="613"/>
          <w:jc w:val="center"/>
        </w:trPr>
        <w:tc>
          <w:tcPr>
            <w:tcW w:w="10078" w:type="dxa"/>
            <w:tcBorders>
              <w:bottom w:val="nil"/>
            </w:tcBorders>
          </w:tcPr>
          <w:p w14:paraId="049A3113" w14:textId="029155F0" w:rsidR="00DA7A87" w:rsidRDefault="00DA7A87" w:rsidP="00DA7A87">
            <w:pPr>
              <w:pStyle w:val="Heading2"/>
              <w:jc w:val="center"/>
            </w:pPr>
            <w:bookmarkStart w:id="9" w:name="_Toc72252026"/>
            <w:r>
              <w:rPr>
                <w:lang w:val="en-NZ"/>
              </w:rPr>
              <w:t xml:space="preserve">Maurice Wilkins Centre 2021-2028 </w:t>
            </w:r>
            <w:r w:rsidRPr="000109B4">
              <w:t>Executive summary</w:t>
            </w:r>
            <w:r>
              <w:t xml:space="preserve"> </w:t>
            </w:r>
            <w:bookmarkEnd w:id="9"/>
          </w:p>
        </w:tc>
      </w:tr>
      <w:tr w:rsidR="00DA7A87" w14:paraId="04F46F81" w14:textId="77777777" w:rsidTr="00C911F2">
        <w:trPr>
          <w:trHeight w:val="613"/>
          <w:jc w:val="center"/>
        </w:trPr>
        <w:tc>
          <w:tcPr>
            <w:tcW w:w="10078" w:type="dxa"/>
            <w:tcBorders>
              <w:top w:val="nil"/>
              <w:bottom w:val="single" w:sz="4" w:space="0" w:color="000000"/>
            </w:tcBorders>
          </w:tcPr>
          <w:p w14:paraId="575F89C7" w14:textId="77777777" w:rsidR="005D0102" w:rsidRPr="005D0102" w:rsidRDefault="005D0102" w:rsidP="005D0102">
            <w:pPr>
              <w:tabs>
                <w:tab w:val="left" w:pos="1276"/>
                <w:tab w:val="left" w:pos="7088"/>
                <w:tab w:val="right" w:pos="9370"/>
              </w:tabs>
              <w:spacing w:before="240" w:after="240"/>
              <w:rPr>
                <w:rFonts w:ascii="Arial" w:hAnsi="Arial" w:cs="Arial"/>
                <w:sz w:val="22"/>
                <w:szCs w:val="22"/>
              </w:rPr>
            </w:pPr>
            <w:r w:rsidRPr="005D0102">
              <w:rPr>
                <w:rFonts w:ascii="Arial" w:hAnsi="Arial" w:cs="Arial"/>
                <w:sz w:val="22"/>
                <w:szCs w:val="22"/>
              </w:rPr>
              <w:t>The Maurice Wilkins Centre (MWC) is a vibrant organisation that brings together the best research talent across New Zealand to focus on understanding and managing the major diseases affecting New Zealanders today. Centre of Research Excellence (CoRE) funding has enabled the Centre to grow into a dynamic, highly productive, large-scale collaborative network of researchers across New Zealand, since its establishment in 2002.  A major achievement of the MWC is that it has broken down traditional barriers between institutions and disciplines and developed high-functioning, collaborative teams across different institutions. These teams encompass a wide range of capabilities in biomedicine, chemistry, and clinical research, and are further boosted by collaborative links to major research institutions globally.  This is an interactive model unique to New Zealand and one that creates excellent synergies that maximise the productivity of the country’s researchers. This includes building upon our established relationships with Māori organisations, and the subsequent development of a formal Māori engagement strategy in consultation with those groups.  During 2025-2028, we anticipate further activities expanding our development of Māori researchers and outreach to communities, and providing greater opportunities for Māori leadership in our research.</w:t>
            </w:r>
          </w:p>
          <w:p w14:paraId="07357422" w14:textId="77777777" w:rsidR="005D0102" w:rsidRPr="005D0102" w:rsidRDefault="005D0102" w:rsidP="005D0102">
            <w:pPr>
              <w:tabs>
                <w:tab w:val="left" w:pos="1276"/>
                <w:tab w:val="left" w:pos="7088"/>
                <w:tab w:val="right" w:pos="9370"/>
              </w:tabs>
              <w:spacing w:before="240" w:after="240"/>
              <w:rPr>
                <w:rFonts w:ascii="Arial" w:hAnsi="Arial" w:cs="Arial"/>
                <w:sz w:val="22"/>
                <w:szCs w:val="22"/>
              </w:rPr>
            </w:pPr>
            <w:r w:rsidRPr="005D0102">
              <w:rPr>
                <w:rFonts w:ascii="Arial" w:hAnsi="Arial" w:cs="Arial"/>
                <w:sz w:val="22"/>
                <w:szCs w:val="22"/>
              </w:rPr>
              <w:t>The MWC effectively performs ambitious research that spans from basic discovery through to translational outcomes. The Centre has developed a balance of internationally-competitive research programmes combined with a series of innovative, cutting edge, pilot projects to foster new research directions. A key feature of these research programmes is to engage a collaborative, interdisciplinary network of researchers, aiming for larger scale programmes than would be possible in individual laboratory groups. MWC also leads the development of important new resources and data sets that will be of ongoing use to researchers and patients.</w:t>
            </w:r>
          </w:p>
          <w:p w14:paraId="28B4F1DA" w14:textId="77777777" w:rsidR="005D0102" w:rsidRPr="005D0102" w:rsidRDefault="005D0102" w:rsidP="005D0102">
            <w:pPr>
              <w:tabs>
                <w:tab w:val="left" w:pos="1276"/>
                <w:tab w:val="left" w:pos="7088"/>
                <w:tab w:val="right" w:pos="9370"/>
              </w:tabs>
              <w:spacing w:before="240" w:after="240"/>
              <w:rPr>
                <w:rFonts w:ascii="Arial" w:hAnsi="Arial" w:cs="Arial"/>
                <w:sz w:val="22"/>
                <w:szCs w:val="22"/>
              </w:rPr>
            </w:pPr>
            <w:r w:rsidRPr="005D0102">
              <w:rPr>
                <w:rFonts w:ascii="Arial" w:hAnsi="Arial" w:cs="Arial"/>
                <w:sz w:val="22"/>
                <w:szCs w:val="22"/>
              </w:rPr>
              <w:t xml:space="preserve">The Centre’s goals are to (i) build on the current network of researchers to use multi-disciplinary approaches and teams to expedite the development of new knowledge about mechanisms driving a range of diseases of importance to this country and, (ii) empower its extensive collective expertise in the development of therapeutic advances by linking with its rapidly developing networks of clinical researchers to translate these into new patient-centric approaches to prevent, diagnose or treat the target diseases and, (iii) using these approaches to advance fundamental knowledge to inform tomorrow’s precision medicine, particularly making sure Māori and Pacific Peoples are not left out of the precision medicine revolution.  </w:t>
            </w:r>
          </w:p>
          <w:p w14:paraId="68A7B5C0" w14:textId="40AF0632" w:rsidR="00DA7A87" w:rsidRPr="007B7AC5" w:rsidRDefault="005D0102" w:rsidP="005D0102">
            <w:pPr>
              <w:tabs>
                <w:tab w:val="left" w:pos="1276"/>
                <w:tab w:val="left" w:pos="7088"/>
                <w:tab w:val="right" w:pos="9370"/>
              </w:tabs>
              <w:spacing w:before="240" w:after="240"/>
              <w:rPr>
                <w:rFonts w:ascii="Arial" w:hAnsi="Arial" w:cs="Arial"/>
                <w:sz w:val="22"/>
                <w:szCs w:val="22"/>
              </w:rPr>
            </w:pPr>
            <w:r w:rsidRPr="005D0102">
              <w:rPr>
                <w:rFonts w:ascii="Arial" w:hAnsi="Arial" w:cs="Arial"/>
                <w:sz w:val="22"/>
                <w:szCs w:val="22"/>
              </w:rPr>
              <w:t>The MWC is an instigator of new research directions and aims to maximise the effectiveness of its collaborative research teams and to potentiate the outputs of its research by synergising with and leveraging other funding mechanisms. The MWC will also use its position as a national research network to support and develop the future research workforce from school outreach through postgraduate studentships and supporting the career development of early career researchers (ECRs).  Specifically, the MWC is conducting activities that will enable diversity in this future workforce in terms of gender balance and in terms of Māori and Pacific engagement in biomedical research. Going forward the MWC will focus on further boosting its ability to have impact on the health of New Zealanders by greatly expanding and strengthening the interactions of its researchers with clinicians and with communities, particularly Māori and Pacific communities.</w:t>
            </w:r>
          </w:p>
        </w:tc>
      </w:tr>
    </w:tbl>
    <w:p w14:paraId="2FA8472E" w14:textId="2796FE1F" w:rsidR="007B7AC5" w:rsidRDefault="007B7AC5" w:rsidP="00DA7A87">
      <w:pPr>
        <w:spacing w:before="120"/>
      </w:pPr>
    </w:p>
    <w:p w14:paraId="669FAB53" w14:textId="77777777" w:rsidR="007B7AC5" w:rsidRDefault="007B7AC5">
      <w:r>
        <w:br w:type="page"/>
      </w:r>
    </w:p>
    <w:p w14:paraId="354EB588" w14:textId="77777777" w:rsidR="00DA7A87" w:rsidRDefault="00DA7A87" w:rsidP="00DA7A87">
      <w:pPr>
        <w:spacing w:before="120"/>
      </w:pP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8"/>
      </w:tblGrid>
      <w:tr w:rsidR="00DA7A87" w14:paraId="7F7A1E7D" w14:textId="77777777" w:rsidTr="00C911F2">
        <w:trPr>
          <w:trHeight w:val="613"/>
          <w:jc w:val="center"/>
        </w:trPr>
        <w:tc>
          <w:tcPr>
            <w:tcW w:w="10078" w:type="dxa"/>
            <w:tcBorders>
              <w:top w:val="single" w:sz="4" w:space="0" w:color="000000"/>
              <w:left w:val="single" w:sz="4" w:space="0" w:color="000000"/>
              <w:bottom w:val="nil"/>
              <w:right w:val="single" w:sz="4" w:space="0" w:color="000000"/>
            </w:tcBorders>
          </w:tcPr>
          <w:p w14:paraId="65BF85BA" w14:textId="60E23B72" w:rsidR="00DA7A87" w:rsidRDefault="00DA7A87" w:rsidP="00764CC3">
            <w:pPr>
              <w:pStyle w:val="Heading2"/>
              <w:rPr>
                <w:b/>
              </w:rPr>
            </w:pPr>
            <w:bookmarkStart w:id="10" w:name="_Toc72252028"/>
            <w:r>
              <w:t xml:space="preserve">Strategic impacts </w:t>
            </w:r>
            <w:bookmarkEnd w:id="10"/>
          </w:p>
        </w:tc>
      </w:tr>
      <w:tr w:rsidR="00DA7A87" w14:paraId="5F7EFA96" w14:textId="77777777" w:rsidTr="00C911F2">
        <w:trPr>
          <w:trHeight w:val="613"/>
          <w:jc w:val="center"/>
        </w:trPr>
        <w:tc>
          <w:tcPr>
            <w:tcW w:w="10078" w:type="dxa"/>
            <w:tcBorders>
              <w:top w:val="nil"/>
              <w:left w:val="single" w:sz="4" w:space="0" w:color="000000"/>
              <w:bottom w:val="single" w:sz="4" w:space="0" w:color="000000"/>
              <w:right w:val="single" w:sz="4" w:space="0" w:color="000000"/>
            </w:tcBorders>
          </w:tcPr>
          <w:p w14:paraId="74B048B7" w14:textId="77777777" w:rsidR="00DA7A87" w:rsidRDefault="00DA7A87" w:rsidP="00764CC3">
            <w:pPr>
              <w:rPr>
                <w:rFonts w:ascii="Arial" w:hAnsi="Arial" w:cs="Arial"/>
                <w:b/>
                <w:bCs/>
                <w:iCs/>
                <w:sz w:val="22"/>
                <w:szCs w:val="22"/>
              </w:rPr>
            </w:pPr>
          </w:p>
          <w:p w14:paraId="0AF08D29" w14:textId="45B610D3" w:rsidR="00DA7A87" w:rsidRPr="00DA7A87" w:rsidRDefault="00DA7A87" w:rsidP="00764CC3">
            <w:pPr>
              <w:rPr>
                <w:rFonts w:ascii="Arial" w:hAnsi="Arial" w:cs="Arial"/>
                <w:b/>
                <w:bCs/>
                <w:iCs/>
                <w:sz w:val="22"/>
                <w:szCs w:val="22"/>
              </w:rPr>
            </w:pPr>
            <w:r w:rsidRPr="00DA7A87">
              <w:rPr>
                <w:rFonts w:ascii="Arial" w:hAnsi="Arial" w:cs="Arial"/>
                <w:b/>
                <w:bCs/>
                <w:iCs/>
                <w:sz w:val="22"/>
                <w:szCs w:val="22"/>
              </w:rPr>
              <w:t>MWC impacts:</w:t>
            </w:r>
          </w:p>
          <w:p w14:paraId="10B15E25" w14:textId="77777777" w:rsidR="005D0102" w:rsidRPr="005D0102" w:rsidRDefault="005D0102" w:rsidP="00DC000B">
            <w:pPr>
              <w:pStyle w:val="ListParagraph"/>
              <w:numPr>
                <w:ilvl w:val="0"/>
                <w:numId w:val="4"/>
              </w:numPr>
              <w:pBdr>
                <w:top w:val="nil"/>
                <w:left w:val="nil"/>
                <w:bottom w:val="nil"/>
                <w:right w:val="nil"/>
                <w:between w:val="nil"/>
              </w:pBdr>
              <w:spacing w:before="60"/>
              <w:contextualSpacing/>
              <w:rPr>
                <w:rFonts w:ascii="Arial" w:hAnsi="Arial" w:cs="Arial"/>
                <w:sz w:val="22"/>
                <w:szCs w:val="22"/>
              </w:rPr>
            </w:pPr>
            <w:r w:rsidRPr="005D0102">
              <w:rPr>
                <w:rFonts w:ascii="Arial" w:hAnsi="Arial" w:cs="Arial"/>
                <w:sz w:val="22"/>
                <w:szCs w:val="22"/>
              </w:rPr>
              <w:t>Improved long term health outcomes and well-being of New Zealanders, particularly for Māori and Pacific Peoples</w:t>
            </w:r>
          </w:p>
          <w:p w14:paraId="7F7568F6" w14:textId="77777777" w:rsidR="005D0102" w:rsidRPr="005D0102" w:rsidRDefault="005D0102" w:rsidP="00DC000B">
            <w:pPr>
              <w:pStyle w:val="ListParagraph"/>
              <w:numPr>
                <w:ilvl w:val="0"/>
                <w:numId w:val="4"/>
              </w:numPr>
              <w:pBdr>
                <w:top w:val="nil"/>
                <w:left w:val="nil"/>
                <w:bottom w:val="nil"/>
                <w:right w:val="nil"/>
                <w:between w:val="nil"/>
              </w:pBdr>
              <w:spacing w:before="60"/>
              <w:contextualSpacing/>
              <w:rPr>
                <w:rFonts w:ascii="Arial" w:hAnsi="Arial" w:cs="Arial"/>
                <w:sz w:val="22"/>
                <w:szCs w:val="22"/>
              </w:rPr>
            </w:pPr>
            <w:r w:rsidRPr="005D0102">
              <w:rPr>
                <w:rFonts w:ascii="Arial" w:hAnsi="Arial" w:cs="Arial"/>
                <w:sz w:val="22"/>
                <w:szCs w:val="22"/>
              </w:rPr>
              <w:t>Diverse range of young scientists with advanced capability and a greater awareness of cultural, economic, and community aspects of biomedical research</w:t>
            </w:r>
          </w:p>
          <w:p w14:paraId="5648960F" w14:textId="77777777" w:rsidR="005D0102" w:rsidRPr="005D0102" w:rsidRDefault="005D0102" w:rsidP="00DC000B">
            <w:pPr>
              <w:pStyle w:val="ListParagraph"/>
              <w:numPr>
                <w:ilvl w:val="0"/>
                <w:numId w:val="4"/>
              </w:numPr>
              <w:pBdr>
                <w:top w:val="nil"/>
                <w:left w:val="nil"/>
                <w:bottom w:val="nil"/>
                <w:right w:val="nil"/>
                <w:between w:val="nil"/>
              </w:pBdr>
              <w:spacing w:before="60"/>
              <w:contextualSpacing/>
              <w:rPr>
                <w:rFonts w:ascii="Arial" w:hAnsi="Arial" w:cs="Arial"/>
                <w:sz w:val="22"/>
                <w:szCs w:val="22"/>
              </w:rPr>
            </w:pPr>
            <w:r w:rsidRPr="005D0102">
              <w:rPr>
                <w:rFonts w:ascii="Arial" w:hAnsi="Arial" w:cs="Arial"/>
                <w:sz w:val="22"/>
                <w:szCs w:val="22"/>
              </w:rPr>
              <w:t>Economic benefits for the country including growth in the investment and performance of the therapeutics industry in New Zealand</w:t>
            </w:r>
          </w:p>
          <w:p w14:paraId="39B19E7B" w14:textId="77777777" w:rsidR="005D0102" w:rsidRPr="005D0102" w:rsidRDefault="005D0102" w:rsidP="00DC000B">
            <w:pPr>
              <w:pStyle w:val="ListParagraph"/>
              <w:numPr>
                <w:ilvl w:val="0"/>
                <w:numId w:val="4"/>
              </w:numPr>
              <w:pBdr>
                <w:top w:val="nil"/>
                <w:left w:val="nil"/>
                <w:bottom w:val="nil"/>
                <w:right w:val="nil"/>
                <w:between w:val="nil"/>
              </w:pBdr>
              <w:spacing w:before="60"/>
              <w:contextualSpacing/>
              <w:rPr>
                <w:rFonts w:ascii="Arial" w:hAnsi="Arial" w:cs="Arial"/>
                <w:sz w:val="22"/>
                <w:szCs w:val="22"/>
              </w:rPr>
            </w:pPr>
            <w:r w:rsidRPr="005D0102">
              <w:rPr>
                <w:rFonts w:ascii="Arial" w:hAnsi="Arial" w:cs="Arial"/>
                <w:sz w:val="22"/>
                <w:szCs w:val="22"/>
              </w:rPr>
              <w:t>Improved science education for school children, particularly in Māori and Pacific communities</w:t>
            </w:r>
          </w:p>
          <w:p w14:paraId="6E19B723" w14:textId="77777777" w:rsidR="005D0102" w:rsidRPr="005D0102" w:rsidRDefault="005D0102" w:rsidP="00DC000B">
            <w:pPr>
              <w:pStyle w:val="ListParagraph"/>
              <w:numPr>
                <w:ilvl w:val="0"/>
                <w:numId w:val="4"/>
              </w:numPr>
              <w:pBdr>
                <w:top w:val="nil"/>
                <w:left w:val="nil"/>
                <w:bottom w:val="nil"/>
                <w:right w:val="nil"/>
                <w:between w:val="nil"/>
              </w:pBdr>
              <w:spacing w:before="60"/>
              <w:contextualSpacing/>
              <w:rPr>
                <w:rFonts w:ascii="Arial" w:hAnsi="Arial" w:cs="Arial"/>
                <w:sz w:val="22"/>
                <w:szCs w:val="22"/>
              </w:rPr>
            </w:pPr>
            <w:r w:rsidRPr="005D0102">
              <w:rPr>
                <w:rFonts w:ascii="Arial" w:hAnsi="Arial" w:cs="Arial"/>
                <w:sz w:val="22"/>
                <w:szCs w:val="22"/>
              </w:rPr>
              <w:t>New Zealand scientists as good global citizens in contributing to global health outcomes</w:t>
            </w:r>
          </w:p>
          <w:p w14:paraId="6B93AD7A" w14:textId="77777777" w:rsidR="005D0102" w:rsidRPr="005D0102" w:rsidRDefault="005D0102" w:rsidP="00DC000B">
            <w:pPr>
              <w:pStyle w:val="ListParagraph"/>
              <w:numPr>
                <w:ilvl w:val="0"/>
                <w:numId w:val="4"/>
              </w:numPr>
              <w:pBdr>
                <w:top w:val="nil"/>
                <w:left w:val="nil"/>
                <w:bottom w:val="nil"/>
                <w:right w:val="nil"/>
                <w:between w:val="nil"/>
              </w:pBdr>
              <w:spacing w:before="60"/>
              <w:contextualSpacing/>
              <w:rPr>
                <w:rFonts w:ascii="Arial" w:hAnsi="Arial" w:cs="Arial"/>
                <w:sz w:val="22"/>
                <w:szCs w:val="22"/>
              </w:rPr>
            </w:pPr>
            <w:r w:rsidRPr="005D0102">
              <w:rPr>
                <w:rFonts w:ascii="Arial" w:hAnsi="Arial" w:cs="Arial"/>
                <w:sz w:val="22"/>
                <w:szCs w:val="22"/>
              </w:rPr>
              <w:t>Increased capability in Māori researchers and in our research community to engage with and undertake culturally appropriate research in a range of medical conditions</w:t>
            </w:r>
          </w:p>
          <w:p w14:paraId="22DEFC3A" w14:textId="77777777" w:rsidR="00DA7A87" w:rsidRDefault="00DA7A87" w:rsidP="00764CC3">
            <w:pPr>
              <w:pBdr>
                <w:top w:val="nil"/>
                <w:left w:val="nil"/>
                <w:bottom w:val="nil"/>
                <w:right w:val="nil"/>
                <w:between w:val="nil"/>
              </w:pBdr>
              <w:spacing w:before="60"/>
              <w:rPr>
                <w:sz w:val="22"/>
                <w:szCs w:val="22"/>
              </w:rPr>
            </w:pPr>
          </w:p>
        </w:tc>
      </w:tr>
    </w:tbl>
    <w:p w14:paraId="25602B34" w14:textId="77777777" w:rsidR="00DA7A87" w:rsidRDefault="00DA7A87" w:rsidP="00DA7A87"/>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8"/>
      </w:tblGrid>
      <w:tr w:rsidR="00DA7A87" w14:paraId="6CEB4981" w14:textId="77777777" w:rsidTr="00C911F2">
        <w:trPr>
          <w:trHeight w:val="613"/>
          <w:jc w:val="center"/>
        </w:trPr>
        <w:tc>
          <w:tcPr>
            <w:tcW w:w="10078" w:type="dxa"/>
            <w:tcBorders>
              <w:top w:val="single" w:sz="4" w:space="0" w:color="000000"/>
              <w:left w:val="single" w:sz="4" w:space="0" w:color="000000"/>
              <w:bottom w:val="nil"/>
              <w:right w:val="single" w:sz="4" w:space="0" w:color="000000"/>
            </w:tcBorders>
          </w:tcPr>
          <w:p w14:paraId="75663424" w14:textId="620F5DE0" w:rsidR="00DA7A87" w:rsidRDefault="00DA7A87" w:rsidP="00764CC3">
            <w:pPr>
              <w:pStyle w:val="Heading2"/>
              <w:rPr>
                <w:b/>
              </w:rPr>
            </w:pPr>
            <w:bookmarkStart w:id="11" w:name="_Toc72252029"/>
            <w:r>
              <w:t xml:space="preserve">Outcomes </w:t>
            </w:r>
            <w:bookmarkEnd w:id="11"/>
          </w:p>
        </w:tc>
      </w:tr>
      <w:tr w:rsidR="00DA7A87" w14:paraId="754A9EC1" w14:textId="77777777" w:rsidTr="00C911F2">
        <w:trPr>
          <w:trHeight w:val="613"/>
          <w:jc w:val="center"/>
        </w:trPr>
        <w:tc>
          <w:tcPr>
            <w:tcW w:w="10078" w:type="dxa"/>
            <w:tcBorders>
              <w:top w:val="nil"/>
              <w:left w:val="single" w:sz="4" w:space="0" w:color="000000"/>
              <w:bottom w:val="single" w:sz="4" w:space="0" w:color="000000"/>
              <w:right w:val="single" w:sz="4" w:space="0" w:color="000000"/>
            </w:tcBorders>
          </w:tcPr>
          <w:p w14:paraId="196FC098" w14:textId="77777777" w:rsidR="00DA7A87" w:rsidRDefault="00DA7A87" w:rsidP="00764CC3">
            <w:pPr>
              <w:pBdr>
                <w:top w:val="nil"/>
                <w:left w:val="nil"/>
                <w:bottom w:val="nil"/>
                <w:right w:val="nil"/>
                <w:between w:val="nil"/>
              </w:pBdr>
            </w:pPr>
          </w:p>
          <w:p w14:paraId="6F3C3BE4" w14:textId="77777777" w:rsidR="00DA7A87" w:rsidRPr="00DA7A87" w:rsidRDefault="00DA7A87" w:rsidP="00764CC3">
            <w:pPr>
              <w:pBdr>
                <w:top w:val="nil"/>
                <w:left w:val="nil"/>
                <w:bottom w:val="nil"/>
                <w:right w:val="nil"/>
                <w:between w:val="nil"/>
              </w:pBdr>
              <w:rPr>
                <w:rFonts w:ascii="Arial" w:hAnsi="Arial" w:cs="Arial"/>
                <w:b/>
                <w:bCs/>
                <w:sz w:val="22"/>
                <w:szCs w:val="22"/>
              </w:rPr>
            </w:pPr>
            <w:r w:rsidRPr="00DA7A87">
              <w:rPr>
                <w:rFonts w:ascii="Arial" w:hAnsi="Arial" w:cs="Arial"/>
                <w:b/>
                <w:bCs/>
                <w:sz w:val="22"/>
                <w:szCs w:val="22"/>
              </w:rPr>
              <w:t>MWC outcomes:</w:t>
            </w:r>
          </w:p>
          <w:p w14:paraId="32EB0CF7"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Development of better ways of treating disease using inter-disciplinary and inter-institutional collaborations, biomedical and translational research, and facilitating clinical trials supported by relevant diagnostic biomarkers</w:t>
            </w:r>
          </w:p>
          <w:p w14:paraId="7E5D3046"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Advancing fundamental knowledge to inform precision medicine of the future, in particular to ensure that Māori and Pacific Peoples are not excluded from the benefits of the precision medicine revolution</w:t>
            </w:r>
          </w:p>
          <w:p w14:paraId="5811F7BF"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 xml:space="preserve">Development of young scientists who have skills in a broader range of experience and mentorship than would traditionally have been available  </w:t>
            </w:r>
          </w:p>
          <w:p w14:paraId="445A4037"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A new generation of Māori and Pacific researchers in biomedical sciences to lead future activities with these communities who can collaborate safely with culturally aware tauiwi researchers</w:t>
            </w:r>
          </w:p>
          <w:p w14:paraId="555E520D"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 xml:space="preserve">Validation of new drug targets, development of new drugs or strategies for using drugs, development of diagnostics and vaccines and the development of clinical trials to test efficacy of such strategies </w:t>
            </w:r>
          </w:p>
          <w:p w14:paraId="1E7E8EEC"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Promotion of a greater understanding of biomedical science in the New Zealand community, particularly in schools and Māori and Pacific communities</w:t>
            </w:r>
          </w:p>
          <w:p w14:paraId="783DB12C" w14:textId="77777777" w:rsidR="005D0102" w:rsidRPr="005D0102" w:rsidRDefault="005D0102" w:rsidP="00DC000B">
            <w:pPr>
              <w:pStyle w:val="ListParagraph"/>
              <w:numPr>
                <w:ilvl w:val="0"/>
                <w:numId w:val="5"/>
              </w:numPr>
              <w:spacing w:before="240" w:after="240"/>
              <w:contextualSpacing/>
              <w:rPr>
                <w:rFonts w:ascii="Arial" w:hAnsi="Arial" w:cs="Arial"/>
                <w:color w:val="000000"/>
                <w:sz w:val="22"/>
                <w:szCs w:val="22"/>
              </w:rPr>
            </w:pPr>
            <w:r w:rsidRPr="005D0102">
              <w:rPr>
                <w:rFonts w:ascii="Arial" w:hAnsi="Arial" w:cs="Arial"/>
                <w:color w:val="000000"/>
                <w:sz w:val="22"/>
                <w:szCs w:val="22"/>
              </w:rPr>
              <w:t>Enhancement of the scientific partnership between New Zealand and other nations that leads to increased opportunities for New Zealand researchers</w:t>
            </w:r>
          </w:p>
          <w:p w14:paraId="0FF2EBBE" w14:textId="77777777" w:rsidR="00DA7A87" w:rsidRDefault="00DA7A87" w:rsidP="00764CC3">
            <w:pPr>
              <w:tabs>
                <w:tab w:val="left" w:pos="1276"/>
                <w:tab w:val="left" w:pos="7088"/>
                <w:tab w:val="right" w:pos="9370"/>
              </w:tabs>
              <w:rPr>
                <w:sz w:val="22"/>
                <w:szCs w:val="22"/>
              </w:rPr>
            </w:pPr>
          </w:p>
        </w:tc>
      </w:tr>
    </w:tbl>
    <w:p w14:paraId="4AB93DEF" w14:textId="79623540" w:rsidR="00DA7A87" w:rsidRDefault="00DA7A87" w:rsidP="00DA7A87"/>
    <w:p w14:paraId="47A1D72E" w14:textId="77777777" w:rsidR="00DA7A87" w:rsidRDefault="00DA7A87">
      <w:r>
        <w:br w:type="page"/>
      </w:r>
    </w:p>
    <w:p w14:paraId="50D79454" w14:textId="77777777" w:rsidR="00DA7A87" w:rsidRDefault="00DA7A87" w:rsidP="00DA7A87"/>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8"/>
      </w:tblGrid>
      <w:tr w:rsidR="00DA7A87" w14:paraId="3C4A2CB9" w14:textId="77777777" w:rsidTr="00C911F2">
        <w:trPr>
          <w:trHeight w:val="613"/>
          <w:jc w:val="center"/>
        </w:trPr>
        <w:tc>
          <w:tcPr>
            <w:tcW w:w="10078" w:type="dxa"/>
            <w:tcBorders>
              <w:top w:val="single" w:sz="4" w:space="0" w:color="000000"/>
              <w:left w:val="single" w:sz="4" w:space="0" w:color="000000"/>
              <w:bottom w:val="nil"/>
              <w:right w:val="single" w:sz="4" w:space="0" w:color="000000"/>
            </w:tcBorders>
          </w:tcPr>
          <w:p w14:paraId="19B758AD" w14:textId="77777777" w:rsidR="00DA7A87" w:rsidRDefault="00DA7A87" w:rsidP="00764CC3">
            <w:pPr>
              <w:pStyle w:val="Heading2"/>
            </w:pPr>
            <w:bookmarkStart w:id="12" w:name="_Toc72252034"/>
            <w:r>
              <w:t>Research plan</w:t>
            </w:r>
            <w:bookmarkEnd w:id="12"/>
            <w:r>
              <w:t xml:space="preserve"> </w:t>
            </w:r>
          </w:p>
          <w:p w14:paraId="0A42B5EE" w14:textId="77777777" w:rsidR="00764CC3" w:rsidRPr="00764CC3" w:rsidRDefault="00764CC3" w:rsidP="00764CC3">
            <w:pPr>
              <w:rPr>
                <w:lang w:val="x-none" w:eastAsia="x-none"/>
              </w:rPr>
            </w:pPr>
          </w:p>
        </w:tc>
      </w:tr>
      <w:tr w:rsidR="00DA7A87" w14:paraId="44E4EC88" w14:textId="77777777" w:rsidTr="00C911F2">
        <w:trPr>
          <w:trHeight w:val="613"/>
          <w:jc w:val="center"/>
        </w:trPr>
        <w:tc>
          <w:tcPr>
            <w:tcW w:w="10078" w:type="dxa"/>
            <w:tcBorders>
              <w:top w:val="nil"/>
            </w:tcBorders>
          </w:tcPr>
          <w:p w14:paraId="379B0F38" w14:textId="77777777" w:rsidR="00764CC3" w:rsidRPr="00764CC3" w:rsidRDefault="00764CC3" w:rsidP="00764CC3">
            <w:pPr>
              <w:spacing w:after="240"/>
              <w:rPr>
                <w:rFonts w:ascii="Arial" w:eastAsia="Times New Roman" w:hAnsi="Arial" w:cs="Arial"/>
                <w:sz w:val="22"/>
                <w:szCs w:val="22"/>
                <w:lang w:val="en-NZ" w:eastAsia="ja-JP"/>
              </w:rPr>
            </w:pPr>
            <w:r w:rsidRPr="00764CC3">
              <w:rPr>
                <w:rFonts w:ascii="Arial" w:eastAsia="Times New Roman" w:hAnsi="Arial" w:cs="Arial"/>
                <w:sz w:val="22"/>
                <w:szCs w:val="22"/>
                <w:lang w:val="en-NZ" w:eastAsia="ja-JP"/>
              </w:rPr>
              <w:t xml:space="preserve">Understanding the processes causing disease and developing new treatments for them is a major challenge requiring the application of a wide range of specialist skills at the appropriate time in the process.  This is hard to achieve using traditional, academic, investigator-led research structures as these tend to make it very difficult to achieve sufficient scale and continuity to tackle the wide range of scientific questions that need to be addressed in such a process. The MWC provides a unique model that brings together the best researchers available in New Zealand to overcome these issues, promoting national-level collaborations. This includes over 600 research scientists and clinicians based at six Universities and four other research institutes, thus encompassing a large proportion of New Zealand’s capabilities in these areas and allowing the country to make the most of the resources it invests. Many scientific skills and technologies are agnostic to the particular disease area to which they are applied, so having access to such a wide range of skills provides a flexible capability to respond rapidly and effectively to challenges posed by a wide range of diseases. A notable feature of the MWC structure is that it also provides investment and expertise to develop large scale resources and datasets that will enable significant amounts of future research. </w:t>
            </w:r>
          </w:p>
          <w:p w14:paraId="0A74FB9A" w14:textId="52A3A771" w:rsidR="00DA7A87" w:rsidRDefault="00764CC3" w:rsidP="00764CC3">
            <w:pPr>
              <w:pBdr>
                <w:top w:val="nil"/>
                <w:left w:val="nil"/>
                <w:bottom w:val="nil"/>
                <w:right w:val="nil"/>
                <w:between w:val="nil"/>
              </w:pBdr>
              <w:spacing w:before="60" w:after="60"/>
              <w:rPr>
                <w:rFonts w:eastAsia="Calibri"/>
                <w:color w:val="000000"/>
                <w:sz w:val="22"/>
                <w:szCs w:val="22"/>
              </w:rPr>
            </w:pPr>
            <w:r w:rsidRPr="00764CC3">
              <w:rPr>
                <w:rFonts w:ascii="Arial" w:eastAsia="Times New Roman" w:hAnsi="Arial" w:cs="Arial"/>
                <w:sz w:val="22"/>
                <w:szCs w:val="22"/>
                <w:lang w:val="en-NZ" w:eastAsia="ja-JP"/>
              </w:rPr>
              <w:t xml:space="preserve">In 2025-2028, the MWC will continue its successful programmes in the three theme areas of metabolic health, infectious diseases and cancer immunology, and introduce a new “cross-theme” focus on how genomics and other big data-sets can inform understanding of these conditions. A major reason for this focus is that these are diseases that contribute most to health disparities and inequities facing Māori and Pacific Peoples. The Centre’s investigators have extensive expertise and experience in all of the scientific disciplines needed to underpin these disease-focused research programmes. Firstly, it will fund large-scale nationally-collaborative research programmes based on existing skills in the Centre.  These will be supported by allocation of postdoctoral fellows, studentships and funding for research working expenses. These are designed to generate important new knowledge that will provide a platform for further research that can align with and leverage other funding mechanisms to expand the scope of the research.  At the same time as enabling targeted research programmes at national scale, we will support innovative multi-disciplinary collaborative projects. These smaller scale collaborations will provide a springboard for the kinds of advances in biomedical science that are difficult to anticipate. These new projects will be integrated into appropriate </w:t>
            </w:r>
            <w:sdt>
              <w:sdtPr>
                <w:rPr>
                  <w:rFonts w:ascii="Arial" w:eastAsia="Times New Roman" w:hAnsi="Arial" w:cs="Arial"/>
                  <w:sz w:val="22"/>
                  <w:szCs w:val="22"/>
                  <w:lang w:val="en-NZ" w:eastAsia="ja-JP"/>
                </w:rPr>
                <w:tag w:val="goog_rdk_3"/>
                <w:id w:val="51201553"/>
              </w:sdtPr>
              <w:sdtEndPr/>
              <w:sdtContent/>
            </w:sdt>
            <w:r w:rsidRPr="00764CC3">
              <w:rPr>
                <w:rFonts w:ascii="Arial" w:eastAsia="Times New Roman" w:hAnsi="Arial" w:cs="Arial"/>
                <w:sz w:val="22"/>
                <w:szCs w:val="22"/>
                <w:lang w:val="en-NZ" w:eastAsia="ja-JP"/>
              </w:rPr>
              <w:t>themes to capture the strategic focus of the MWC. We will continue to support other</w:t>
            </w:r>
            <w:sdt>
              <w:sdtPr>
                <w:rPr>
                  <w:rFonts w:ascii="Arial" w:eastAsia="Times New Roman" w:hAnsi="Arial" w:cs="Arial"/>
                  <w:sz w:val="22"/>
                  <w:szCs w:val="22"/>
                  <w:lang w:val="en-NZ" w:eastAsia="ja-JP"/>
                </w:rPr>
                <w:tag w:val="goog_rdk_4"/>
                <w:id w:val="2086879799"/>
              </w:sdtPr>
              <w:sdtEndPr/>
              <w:sdtContent/>
            </w:sdt>
            <w:r w:rsidRPr="00764CC3">
              <w:rPr>
                <w:rFonts w:ascii="Arial" w:eastAsia="Times New Roman" w:hAnsi="Arial" w:cs="Arial"/>
                <w:sz w:val="22"/>
                <w:szCs w:val="22"/>
                <w:lang w:val="en-NZ" w:eastAsia="ja-JP"/>
              </w:rPr>
              <w:t xml:space="preserve"> new areas of research as they arise to generate a pipeline of new research strands on which to develop major programmes in the future. The MWC will act as a conduit for groups of our researchers to build, support and sustain substantial international collaborations.  The Centre will implement funding mechanisms to support the development of careers of the next generation of research leaders and to equip them with the wide range of skills required to undertake globally competitive multi-disciplinary and translational science. These programmes will have a particular focus on Māori and Pacific Peoples. MWC’s growing capabilities in clinical research and clinical trials will be employed to ensure research findings can be translated into health benefits for New Zealand patients. The MWC also has significant expertise in commercialisation and will use this to ensure capture of any economic benefit to New Zealand from its research and also to assist with the translation of the research to the clinic.</w:t>
            </w:r>
          </w:p>
        </w:tc>
      </w:tr>
    </w:tbl>
    <w:p w14:paraId="0C1907B0" w14:textId="77777777" w:rsidR="00DA7A87" w:rsidRDefault="00DA7A87" w:rsidP="00DA7A87"/>
    <w:p w14:paraId="32FFE4C9" w14:textId="77777777" w:rsidR="00DA7A87" w:rsidRPr="007C3275" w:rsidRDefault="00DA7A87" w:rsidP="00B40146">
      <w:pPr>
        <w:pStyle w:val="ListMWC"/>
        <w:numPr>
          <w:ilvl w:val="0"/>
          <w:numId w:val="0"/>
        </w:numPr>
        <w:ind w:left="360"/>
        <w:rPr>
          <w:sz w:val="22"/>
          <w:szCs w:val="22"/>
        </w:rPr>
      </w:pPr>
    </w:p>
    <w:bookmarkEnd w:id="7"/>
    <w:p w14:paraId="08A910E1" w14:textId="3A9E4C87" w:rsidR="00356B93" w:rsidRPr="00871E7C" w:rsidRDefault="00356B93" w:rsidP="007D61E6">
      <w:pPr>
        <w:rPr>
          <w:rFonts w:ascii="Arial" w:eastAsia="Times New Roman" w:hAnsi="Arial" w:cs="Arial"/>
          <w:color w:val="000000"/>
          <w:sz w:val="22"/>
          <w:szCs w:val="22"/>
          <w:lang w:val="en-GB" w:eastAsia="en-GB"/>
        </w:rPr>
      </w:pPr>
    </w:p>
    <w:p w14:paraId="6DF6CC6A" w14:textId="26E2DEC6" w:rsidR="00E16BCF" w:rsidRDefault="00E16BCF">
      <w:r>
        <w:br w:type="page"/>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8"/>
      </w:tblGrid>
      <w:tr w:rsidR="007D61E6" w14:paraId="27BAAEDF" w14:textId="77777777" w:rsidTr="00C911F2">
        <w:trPr>
          <w:trHeight w:val="465"/>
          <w:jc w:val="center"/>
        </w:trPr>
        <w:tc>
          <w:tcPr>
            <w:tcW w:w="10078" w:type="dxa"/>
            <w:tcBorders>
              <w:top w:val="single" w:sz="4" w:space="0" w:color="000000"/>
              <w:left w:val="single" w:sz="4" w:space="0" w:color="000000"/>
              <w:bottom w:val="single" w:sz="4" w:space="0" w:color="000000"/>
              <w:right w:val="single" w:sz="4" w:space="0" w:color="000000"/>
            </w:tcBorders>
            <w:shd w:val="clear" w:color="auto" w:fill="FFFFFF"/>
          </w:tcPr>
          <w:p w14:paraId="68628CA6" w14:textId="77777777" w:rsidR="007D61E6" w:rsidRDefault="007D61E6" w:rsidP="00764CC3">
            <w:pPr>
              <w:pStyle w:val="Heading2"/>
              <w:rPr>
                <w:sz w:val="22"/>
                <w:szCs w:val="22"/>
              </w:rPr>
            </w:pPr>
            <w:bookmarkStart w:id="13" w:name="_Toc72252042"/>
            <w:r>
              <w:lastRenderedPageBreak/>
              <w:t>Theme 3 - Cancer Immunology</w:t>
            </w:r>
            <w:bookmarkEnd w:id="13"/>
            <w:r>
              <w:t xml:space="preserve"> </w:t>
            </w:r>
          </w:p>
        </w:tc>
      </w:tr>
      <w:tr w:rsidR="007D61E6" w14:paraId="2D8D40D8" w14:textId="77777777" w:rsidTr="00C911F2">
        <w:trPr>
          <w:trHeight w:val="465"/>
          <w:jc w:val="center"/>
        </w:trPr>
        <w:tc>
          <w:tcPr>
            <w:tcW w:w="10078" w:type="dxa"/>
            <w:tcBorders>
              <w:bottom w:val="nil"/>
            </w:tcBorders>
            <w:shd w:val="clear" w:color="auto" w:fill="FFFFFF"/>
          </w:tcPr>
          <w:p w14:paraId="3FD37070" w14:textId="77777777" w:rsidR="007D61E6" w:rsidRDefault="007D61E6" w:rsidP="00764CC3">
            <w:pPr>
              <w:pStyle w:val="Heading2"/>
              <w:rPr>
                <w:sz w:val="22"/>
                <w:szCs w:val="22"/>
              </w:rPr>
            </w:pPr>
            <w:bookmarkStart w:id="14" w:name="_Toc72252043"/>
            <w:r>
              <w:t>Overview</w:t>
            </w:r>
            <w:bookmarkEnd w:id="14"/>
          </w:p>
        </w:tc>
      </w:tr>
      <w:tr w:rsidR="007D61E6" w14:paraId="7C8765AC" w14:textId="77777777" w:rsidTr="00C911F2">
        <w:trPr>
          <w:trHeight w:val="613"/>
          <w:jc w:val="center"/>
        </w:trPr>
        <w:tc>
          <w:tcPr>
            <w:tcW w:w="10078" w:type="dxa"/>
            <w:tcBorders>
              <w:top w:val="nil"/>
              <w:bottom w:val="single" w:sz="4" w:space="0" w:color="000000"/>
            </w:tcBorders>
          </w:tcPr>
          <w:p w14:paraId="55068D40" w14:textId="77777777" w:rsidR="00E16BCF" w:rsidRPr="00E16BCF" w:rsidRDefault="00E16BCF" w:rsidP="00E16BCF">
            <w:pPr>
              <w:tabs>
                <w:tab w:val="left" w:pos="1276"/>
                <w:tab w:val="left" w:pos="7088"/>
                <w:tab w:val="right" w:pos="9370"/>
              </w:tabs>
              <w:spacing w:after="40"/>
              <w:ind w:left="20" w:right="20"/>
              <w:rPr>
                <w:rFonts w:ascii="Arial" w:hAnsi="Arial" w:cs="Arial"/>
                <w:sz w:val="22"/>
                <w:szCs w:val="22"/>
              </w:rPr>
            </w:pPr>
            <w:r w:rsidRPr="00E16BCF">
              <w:rPr>
                <w:rFonts w:ascii="Arial" w:hAnsi="Arial" w:cs="Arial"/>
                <w:sz w:val="22"/>
                <w:szCs w:val="22"/>
              </w:rPr>
              <w:t xml:space="preserve">The development of new therapeutic approaches that either target specific molecular pathways in tumours (targeted therapies) or stimulate each patient’s own immune system to reject tumours (immunotherapies), have revolutionised the treatment of cancer. To address the most urgent and clinically-relevant scientific questions at that time, the MWC Cancer Theme 2021-2024 strategy focussed specifically on cancer immunology - the science behind immunotherapy. This work has generated valuable scientific advances and new capability in New Zealand, including new capabilities for Māori, Pacific and Clinical investigators within the MWC. </w:t>
            </w:r>
          </w:p>
          <w:p w14:paraId="7765C090" w14:textId="77777777" w:rsidR="00E16BCF" w:rsidRPr="00E16BCF" w:rsidRDefault="00E16BCF" w:rsidP="00E16BCF">
            <w:pPr>
              <w:tabs>
                <w:tab w:val="left" w:pos="1276"/>
                <w:tab w:val="left" w:pos="7088"/>
                <w:tab w:val="right" w:pos="9370"/>
              </w:tabs>
              <w:spacing w:after="40"/>
              <w:ind w:left="20" w:right="20"/>
              <w:rPr>
                <w:rFonts w:ascii="Arial" w:hAnsi="Arial" w:cs="Arial"/>
                <w:sz w:val="22"/>
                <w:szCs w:val="22"/>
              </w:rPr>
            </w:pPr>
          </w:p>
          <w:p w14:paraId="15995F3C" w14:textId="77777777" w:rsidR="00E16BCF" w:rsidRPr="00E16BCF" w:rsidRDefault="00E16BCF" w:rsidP="00E16BCF">
            <w:pPr>
              <w:tabs>
                <w:tab w:val="left" w:pos="1276"/>
                <w:tab w:val="left" w:pos="7088"/>
                <w:tab w:val="right" w:pos="9370"/>
              </w:tabs>
              <w:spacing w:after="40"/>
              <w:ind w:left="20" w:right="20"/>
              <w:rPr>
                <w:rFonts w:ascii="Arial" w:hAnsi="Arial" w:cs="Arial"/>
                <w:sz w:val="22"/>
                <w:szCs w:val="22"/>
              </w:rPr>
            </w:pPr>
            <w:r w:rsidRPr="00E16BCF">
              <w:rPr>
                <w:rFonts w:ascii="Arial" w:hAnsi="Arial" w:cs="Arial"/>
                <w:sz w:val="22"/>
                <w:szCs w:val="22"/>
              </w:rPr>
              <w:t xml:space="preserve">In parallel, international gold-standard precision medicine for cancer patients has continued to advance and now increasingly uses deep molecular analysis of each patient’s tumour(s) to direct a </w:t>
            </w:r>
            <w:r w:rsidRPr="00E16BCF">
              <w:rPr>
                <w:rFonts w:ascii="Arial" w:hAnsi="Arial" w:cs="Arial"/>
                <w:sz w:val="22"/>
                <w:szCs w:val="22"/>
                <w:u w:val="single"/>
              </w:rPr>
              <w:t>combination</w:t>
            </w:r>
            <w:r w:rsidRPr="00E16BCF">
              <w:rPr>
                <w:rFonts w:ascii="Arial" w:hAnsi="Arial" w:cs="Arial"/>
                <w:sz w:val="22"/>
                <w:szCs w:val="22"/>
              </w:rPr>
              <w:t xml:space="preserve"> of immunotherapies and other treatment types. The NZ government is getting organised to provide central leadership and support for this approach, as evidenced by the precision health long-term insights briefing presented to the House of Representatives in early 2024. Reflecting this progress, the Cancer Theme 2025-2028 strategy will layer a set of additional research priorities onto our 2021-2024 cancer immunology focus, while continuing to advance the most promising of its current cancer immunology research projects. These additional priorities will focus on research that involves other forms of targeted treatments and advances in precision medicine for cancer patients in NZ (both diagnosis and treatment) and are unique to NZ. Projects that are likely to stand up strongly to international peer review and competition will be prioritised, as will projects that draw on current MWC interdisciplinary strengths across NZ and build capability of Māori and Pacific scientists and clinicians. Where possible selection will include projects in collaboration with the MWC Infectious Disease and Metabolic Health themes. As part of its natural evolution, over 2025-2028 the Cancer Theme will provide larger levels of support to a smaller number of programs than over 2021-2024 to achieve impacts in improving cancer diagnosis, treatment and clinical outcomes. It will also continue to support a range of research, from novel research by early- and mid-career investigators mentored by senior scientists, through to well established programs with substantial additional support beyond the MWC. Three broad Research Programmes will be supported:</w:t>
            </w:r>
          </w:p>
          <w:p w14:paraId="1EFD753D" w14:textId="7425464A" w:rsidR="007D61E6" w:rsidRDefault="007D61E6" w:rsidP="00764CC3">
            <w:pPr>
              <w:tabs>
                <w:tab w:val="left" w:pos="1276"/>
                <w:tab w:val="left" w:pos="7088"/>
                <w:tab w:val="right" w:pos="9370"/>
              </w:tabs>
              <w:spacing w:before="120"/>
              <w:rPr>
                <w:color w:val="808080"/>
              </w:rPr>
            </w:pPr>
          </w:p>
        </w:tc>
      </w:tr>
      <w:tr w:rsidR="007D61E6" w14:paraId="4D0274D4" w14:textId="77777777" w:rsidTr="00C911F2">
        <w:trPr>
          <w:trHeight w:val="465"/>
          <w:jc w:val="center"/>
        </w:trPr>
        <w:tc>
          <w:tcPr>
            <w:tcW w:w="10078" w:type="dxa"/>
            <w:tcBorders>
              <w:bottom w:val="nil"/>
            </w:tcBorders>
            <w:shd w:val="clear" w:color="auto" w:fill="FFFFFF"/>
          </w:tcPr>
          <w:p w14:paraId="71546062" w14:textId="5F412055" w:rsidR="007D61E6" w:rsidRPr="00E16BCF" w:rsidRDefault="00E16BCF" w:rsidP="00764CC3">
            <w:pPr>
              <w:pStyle w:val="Heading2"/>
              <w:rPr>
                <w:b/>
                <w:sz w:val="28"/>
                <w:szCs w:val="28"/>
              </w:rPr>
            </w:pPr>
            <w:r w:rsidRPr="00E16BCF">
              <w:rPr>
                <w:sz w:val="28"/>
                <w:szCs w:val="28"/>
              </w:rPr>
              <w:t>Research programme 1: Targeted delivery of immune stimulants</w:t>
            </w:r>
          </w:p>
        </w:tc>
      </w:tr>
      <w:tr w:rsidR="007D61E6" w14:paraId="2D9FED08" w14:textId="77777777" w:rsidTr="00C911F2">
        <w:trPr>
          <w:trHeight w:val="571"/>
          <w:jc w:val="center"/>
        </w:trPr>
        <w:tc>
          <w:tcPr>
            <w:tcW w:w="10078" w:type="dxa"/>
            <w:tcBorders>
              <w:top w:val="nil"/>
              <w:bottom w:val="single" w:sz="4" w:space="0" w:color="000000"/>
            </w:tcBorders>
          </w:tcPr>
          <w:p w14:paraId="3B558148" w14:textId="77777777" w:rsidR="00E16BCF" w:rsidRPr="00E16BCF" w:rsidRDefault="00E16BCF" w:rsidP="00E16BCF">
            <w:pPr>
              <w:tabs>
                <w:tab w:val="left" w:pos="1276"/>
                <w:tab w:val="left" w:pos="4084"/>
              </w:tabs>
              <w:spacing w:before="240" w:after="240"/>
              <w:rPr>
                <w:rFonts w:ascii="Arial" w:hAnsi="Arial" w:cs="Arial"/>
                <w:b/>
                <w:sz w:val="22"/>
                <w:szCs w:val="22"/>
              </w:rPr>
            </w:pPr>
            <w:r w:rsidRPr="00E16BCF">
              <w:rPr>
                <w:rFonts w:ascii="Arial" w:hAnsi="Arial" w:cs="Arial"/>
                <w:sz w:val="22"/>
                <w:szCs w:val="22"/>
              </w:rPr>
              <w:t xml:space="preserve">Program 1 builds on a programme from the Cancer Theme’s 2021-2024 plan. It supports continuation of a subset of immunomodulatory therapy projects already underway that have proved especially successful, while providing support for a small number of new targeted treatments, drug delivery systems, and immunomodulatory therapy projects and clinical trials. It may include immunomodulatory agents that work in synergy with targeted therapies, agents that can </w:t>
            </w:r>
            <w:r w:rsidRPr="00E16BCF">
              <w:rPr>
                <w:rFonts w:ascii="Arial" w:hAnsi="Arial" w:cs="Arial"/>
                <w:sz w:val="22"/>
                <w:szCs w:val="22"/>
                <w:lang w:val="en-US"/>
              </w:rPr>
              <w:t>overcome resistance to immune checkpoint inhibitors, or novel immunotherapy approaches including personalised cancer vaccines and cell-based therapies.</w:t>
            </w:r>
          </w:p>
          <w:p w14:paraId="5A4D8351" w14:textId="77777777" w:rsidR="00E16BCF" w:rsidRPr="00E16BCF" w:rsidRDefault="00E16BCF" w:rsidP="00E16BCF">
            <w:pPr>
              <w:tabs>
                <w:tab w:val="left" w:pos="1276"/>
                <w:tab w:val="left" w:pos="4084"/>
              </w:tabs>
              <w:spacing w:before="240" w:after="240"/>
              <w:rPr>
                <w:rFonts w:ascii="Arial" w:hAnsi="Arial" w:cs="Arial"/>
                <w:b/>
                <w:sz w:val="22"/>
                <w:szCs w:val="22"/>
              </w:rPr>
            </w:pPr>
            <w:r w:rsidRPr="00E16BCF">
              <w:rPr>
                <w:rFonts w:ascii="Arial" w:hAnsi="Arial" w:cs="Arial"/>
                <w:b/>
                <w:sz w:val="22"/>
                <w:szCs w:val="22"/>
              </w:rPr>
              <w:t>Annual plan milestones</w:t>
            </w:r>
          </w:p>
          <w:p w14:paraId="6AB3A44C"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2025:  </w:t>
            </w:r>
          </w:p>
          <w:p w14:paraId="08B2EAB4" w14:textId="77777777" w:rsidR="00E16BCF" w:rsidRDefault="00E16BCF" w:rsidP="00DC000B">
            <w:pPr>
              <w:pStyle w:val="ListParagraph"/>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lang w:val="en-US"/>
              </w:rPr>
            </w:pPr>
            <w:r w:rsidRPr="00E16BCF">
              <w:rPr>
                <w:rFonts w:ascii="Arial" w:hAnsi="Arial" w:cs="Arial"/>
                <w:sz w:val="22"/>
                <w:szCs w:val="22"/>
              </w:rPr>
              <w:t>Have reviewed process from 2021-2024</w:t>
            </w:r>
            <w:r w:rsidRPr="00E16BCF">
              <w:rPr>
                <w:rFonts w:ascii="Arial" w:hAnsi="Arial" w:cs="Arial"/>
                <w:sz w:val="22"/>
                <w:szCs w:val="22"/>
                <w:lang w:val="en-US"/>
              </w:rPr>
              <w:t xml:space="preserve"> and initiated support for new projects that investigate therapeutic agents and their relevant companion biomarkers, which have evidence of anti tumour properties (including, but not limited to immune modulatory properties) in cancers relevant to Māori and Pacific Peoples.</w:t>
            </w:r>
          </w:p>
          <w:p w14:paraId="717F4EA6" w14:textId="77777777" w:rsidR="00DC000B" w:rsidRPr="00E16BCF" w:rsidRDefault="00DC000B" w:rsidP="00DC000B">
            <w:pPr>
              <w:pStyle w:val="ListParagraph"/>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lang w:val="en-US"/>
              </w:rPr>
            </w:pPr>
          </w:p>
          <w:p w14:paraId="52E2AEDE"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lastRenderedPageBreak/>
              <w:t xml:space="preserve">2026:   </w:t>
            </w:r>
          </w:p>
          <w:p w14:paraId="5D5B4C52" w14:textId="77777777" w:rsidR="00E16BCF" w:rsidRPr="00E16BCF" w:rsidRDefault="00E16BCF" w:rsidP="00DC000B">
            <w:pPr>
              <w:pStyle w:val="ListParagraph"/>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rPr>
            </w:pPr>
            <w:r w:rsidRPr="00E16BCF">
              <w:rPr>
                <w:rFonts w:ascii="Arial" w:hAnsi="Arial" w:cs="Arial"/>
                <w:sz w:val="22"/>
                <w:szCs w:val="22"/>
                <w:lang w:val="en-US"/>
              </w:rPr>
              <w:t>Have initiated proof of principle studies for the development of therapeutic agents for use in cancers preferentially relevant to Māori and Pacific Peoples.</w:t>
            </w:r>
          </w:p>
          <w:p w14:paraId="128BBF2E"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2027:   </w:t>
            </w:r>
          </w:p>
          <w:p w14:paraId="163215F0" w14:textId="77777777" w:rsidR="00E16BCF" w:rsidRPr="00E16BCF" w:rsidRDefault="00E16BCF" w:rsidP="00DC000B">
            <w:pPr>
              <w:pStyle w:val="ListParagraph"/>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lang w:val="en-US"/>
              </w:rPr>
            </w:pPr>
            <w:r w:rsidRPr="00E16BCF">
              <w:rPr>
                <w:rFonts w:ascii="Arial" w:hAnsi="Arial" w:cs="Arial"/>
                <w:sz w:val="22"/>
                <w:szCs w:val="22"/>
                <w:lang w:val="en-US"/>
              </w:rPr>
              <w:t>Have completed proof of principle studies for therapeutic agents and their relevant companion biomarkers in cancers relevant to Māori and Pacific Peoples</w:t>
            </w:r>
          </w:p>
          <w:p w14:paraId="1A8063F1"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
              <w:rPr>
                <w:rFonts w:ascii="Arial" w:hAnsi="Arial" w:cs="Arial"/>
                <w:sz w:val="22"/>
                <w:szCs w:val="22"/>
                <w:lang w:val="en-US"/>
              </w:rPr>
            </w:pPr>
            <w:r w:rsidRPr="00E16BCF">
              <w:rPr>
                <w:rFonts w:ascii="Arial" w:hAnsi="Arial" w:cs="Arial"/>
                <w:sz w:val="22"/>
                <w:szCs w:val="22"/>
              </w:rPr>
              <w:t xml:space="preserve">2028:  </w:t>
            </w:r>
            <w:r w:rsidRPr="00E16BCF">
              <w:rPr>
                <w:rFonts w:ascii="Arial" w:hAnsi="Arial" w:cs="Arial"/>
                <w:sz w:val="22"/>
                <w:szCs w:val="22"/>
                <w:lang w:val="en-US"/>
              </w:rPr>
              <w:t xml:space="preserve"> </w:t>
            </w:r>
          </w:p>
          <w:p w14:paraId="4A86E087" w14:textId="77777777" w:rsidR="00E16BCF" w:rsidRPr="00E16BCF" w:rsidRDefault="00E16BCF" w:rsidP="00DC000B">
            <w:pPr>
              <w:pStyle w:val="ListParagraph"/>
              <w:numPr>
                <w:ilvl w:val="0"/>
                <w:numId w:val="16"/>
              </w:numPr>
              <w:tabs>
                <w:tab w:val="left" w:pos="1276"/>
                <w:tab w:val="left" w:pos="4084"/>
              </w:tabs>
              <w:contextualSpacing/>
              <w:rPr>
                <w:rFonts w:ascii="Arial" w:hAnsi="Arial" w:cs="Arial"/>
                <w:sz w:val="22"/>
                <w:szCs w:val="22"/>
              </w:rPr>
            </w:pPr>
            <w:r w:rsidRPr="00E16BCF">
              <w:rPr>
                <w:rFonts w:ascii="Arial" w:hAnsi="Arial" w:cs="Arial"/>
                <w:sz w:val="22"/>
                <w:szCs w:val="22"/>
                <w:lang w:val="en-US"/>
              </w:rPr>
              <w:t>Have generated outputs including publications, clinical trial results or Patent Cooperation Treaty filings for therapeutic strategies and their relevant companion biomarkers</w:t>
            </w:r>
          </w:p>
          <w:p w14:paraId="069F7032" w14:textId="77777777" w:rsidR="007D61E6" w:rsidRDefault="007D61E6" w:rsidP="00764CC3">
            <w:pPr>
              <w:tabs>
                <w:tab w:val="left" w:pos="1276"/>
                <w:tab w:val="left" w:pos="4084"/>
              </w:tabs>
              <w:spacing w:before="120"/>
              <w:rPr>
                <w:sz w:val="22"/>
                <w:szCs w:val="22"/>
              </w:rPr>
            </w:pPr>
          </w:p>
        </w:tc>
      </w:tr>
      <w:tr w:rsidR="007D61E6" w14:paraId="391DAA05" w14:textId="77777777" w:rsidTr="00C911F2">
        <w:trPr>
          <w:trHeight w:val="465"/>
          <w:jc w:val="center"/>
        </w:trPr>
        <w:tc>
          <w:tcPr>
            <w:tcW w:w="10078" w:type="dxa"/>
            <w:tcBorders>
              <w:bottom w:val="nil"/>
            </w:tcBorders>
            <w:shd w:val="clear" w:color="auto" w:fill="FFFFFF"/>
          </w:tcPr>
          <w:p w14:paraId="6B550E97" w14:textId="35A388A5" w:rsidR="007D61E6" w:rsidRPr="00E16BCF" w:rsidRDefault="00E16BCF" w:rsidP="00764CC3">
            <w:pPr>
              <w:pStyle w:val="Heading2"/>
              <w:rPr>
                <w:sz w:val="28"/>
                <w:szCs w:val="28"/>
              </w:rPr>
            </w:pPr>
            <w:bookmarkStart w:id="15" w:name="_Toc170821712"/>
            <w:r w:rsidRPr="00E16BCF">
              <w:rPr>
                <w:sz w:val="28"/>
                <w:szCs w:val="28"/>
              </w:rPr>
              <w:lastRenderedPageBreak/>
              <w:t>Research programme 2: Advancing scientific understanding to underpin future precision medicine for cancer patients</w:t>
            </w:r>
            <w:bookmarkEnd w:id="15"/>
          </w:p>
        </w:tc>
      </w:tr>
      <w:tr w:rsidR="007D61E6" w14:paraId="1D78EEC6" w14:textId="77777777" w:rsidTr="00C911F2">
        <w:trPr>
          <w:trHeight w:val="645"/>
          <w:jc w:val="center"/>
        </w:trPr>
        <w:tc>
          <w:tcPr>
            <w:tcW w:w="10078" w:type="dxa"/>
            <w:tcBorders>
              <w:top w:val="nil"/>
              <w:bottom w:val="single" w:sz="4" w:space="0" w:color="000000"/>
            </w:tcBorders>
          </w:tcPr>
          <w:p w14:paraId="39EFA878" w14:textId="77777777" w:rsidR="00E16BCF" w:rsidRPr="00E16BCF" w:rsidRDefault="00E16BCF" w:rsidP="00E16BCF">
            <w:pPr>
              <w:tabs>
                <w:tab w:val="left" w:pos="1276"/>
                <w:tab w:val="left" w:pos="4084"/>
              </w:tabs>
              <w:spacing w:before="240" w:after="240"/>
              <w:rPr>
                <w:rFonts w:ascii="Arial" w:hAnsi="Arial" w:cs="Arial"/>
                <w:b/>
                <w:sz w:val="22"/>
                <w:szCs w:val="22"/>
              </w:rPr>
            </w:pPr>
            <w:r w:rsidRPr="00E16BCF">
              <w:rPr>
                <w:rFonts w:ascii="Arial" w:hAnsi="Arial" w:cs="Arial"/>
                <w:sz w:val="22"/>
                <w:szCs w:val="22"/>
              </w:rPr>
              <w:t xml:space="preserve">Programme 2 will extend current MWC research into the molecular aspects of cancer, including research funded as part of the MWC Cancer Theme’s 2021-2024 Precision Immuno-Oncology programme. Building on the success of that programme, it will broaden support to high impact research projects in the basic molecular mechanisms of cancer, such as research into oncogenes and tumour suppressor genes, new drivers of cancer progression (such as epi-drivers), cancer immunology research and research into the tumour stroma. This programme will identify especially promising research in these areas, prioritising </w:t>
            </w:r>
            <w:r w:rsidRPr="00E16BCF">
              <w:rPr>
                <w:rFonts w:ascii="Arial" w:hAnsi="Arial" w:cs="Arial"/>
                <w:sz w:val="22"/>
                <w:szCs w:val="22"/>
                <w:lang w:val="en-US"/>
              </w:rPr>
              <w:t>research in cancers relevant to Māori and Pacific Peoples.</w:t>
            </w:r>
            <w:r w:rsidRPr="00E16BCF">
              <w:rPr>
                <w:rFonts w:ascii="Arial" w:hAnsi="Arial" w:cs="Arial"/>
                <w:sz w:val="22"/>
                <w:szCs w:val="22"/>
              </w:rPr>
              <w:t xml:space="preserve"> This program may provide particular opportunities for research in collaboration with the Infectious Disease and Metabolic Health MWC themes, where understanding biological mechanisms, genes, biomarkers and drugs may have clinically important implications across a range of pathologies.</w:t>
            </w:r>
          </w:p>
          <w:p w14:paraId="3A1ECAA0" w14:textId="77777777" w:rsidR="00E16BCF" w:rsidRPr="00E16BCF" w:rsidRDefault="00E16BCF" w:rsidP="00E16BCF">
            <w:pPr>
              <w:tabs>
                <w:tab w:val="left" w:pos="1276"/>
                <w:tab w:val="left" w:pos="4084"/>
              </w:tabs>
              <w:spacing w:before="240" w:after="240"/>
              <w:rPr>
                <w:rFonts w:ascii="Arial" w:hAnsi="Arial" w:cs="Arial"/>
                <w:sz w:val="22"/>
                <w:szCs w:val="22"/>
                <w:highlight w:val="white"/>
              </w:rPr>
            </w:pPr>
            <w:r w:rsidRPr="00E16BCF">
              <w:rPr>
                <w:rFonts w:ascii="Arial" w:hAnsi="Arial" w:cs="Arial"/>
                <w:b/>
                <w:sz w:val="22"/>
                <w:szCs w:val="22"/>
              </w:rPr>
              <w:t>Annual plan milestones</w:t>
            </w:r>
          </w:p>
          <w:p w14:paraId="4A503D75"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2025:  </w:t>
            </w:r>
          </w:p>
          <w:p w14:paraId="03528979" w14:textId="77777777" w:rsidR="00E16BCF" w:rsidRPr="00E16BCF" w:rsidRDefault="00E16BCF" w:rsidP="00DC000B">
            <w:pPr>
              <w:pStyle w:val="ListParagraph"/>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lang w:val="en-US"/>
              </w:rPr>
            </w:pPr>
            <w:r w:rsidRPr="00E16BCF">
              <w:rPr>
                <w:rFonts w:ascii="Arial" w:hAnsi="Arial" w:cs="Arial"/>
                <w:sz w:val="22"/>
                <w:szCs w:val="22"/>
                <w:lang w:val="en-US"/>
              </w:rPr>
              <w:t>Have reviewed 2021-2024 outcomes, and initiated support for up to 5 projects that investigate molecular mechanisms or targets in cancers preferentially relevant to Māori and Pacific Peoples.</w:t>
            </w:r>
          </w:p>
          <w:p w14:paraId="1070A3E1"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2026:  </w:t>
            </w:r>
          </w:p>
          <w:p w14:paraId="4C4B95B4" w14:textId="77777777" w:rsidR="00E16BCF" w:rsidRPr="00E16BCF" w:rsidRDefault="00E16BCF" w:rsidP="00DC000B">
            <w:pPr>
              <w:pStyle w:val="ListParagraph"/>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rPr>
            </w:pPr>
            <w:r w:rsidRPr="00E16BCF">
              <w:rPr>
                <w:rFonts w:ascii="Arial" w:hAnsi="Arial" w:cs="Arial"/>
                <w:sz w:val="22"/>
                <w:szCs w:val="22"/>
                <w:lang w:val="en-US"/>
              </w:rPr>
              <w:t>Have tested in vitro proof of principle for the development of clinically relevant molecular mechanisms or targets in cancers relevant to Māori and Pacific Peoples.</w:t>
            </w:r>
          </w:p>
          <w:p w14:paraId="0ABAF642"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2027:  </w:t>
            </w:r>
          </w:p>
          <w:p w14:paraId="4185E99D" w14:textId="77777777" w:rsidR="00E16BCF" w:rsidRPr="00E16BCF" w:rsidRDefault="00E16BCF" w:rsidP="00DC000B">
            <w:pPr>
              <w:pStyle w:val="ListParagraph"/>
              <w:numPr>
                <w:ilvl w:val="0"/>
                <w:numId w:val="2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rPr>
                <w:rFonts w:ascii="Arial" w:hAnsi="Arial" w:cs="Arial"/>
                <w:sz w:val="22"/>
                <w:szCs w:val="22"/>
                <w:u w:val="single"/>
              </w:rPr>
            </w:pPr>
            <w:r w:rsidRPr="00E16BCF">
              <w:rPr>
                <w:rFonts w:ascii="Arial" w:hAnsi="Arial" w:cs="Arial"/>
                <w:sz w:val="22"/>
                <w:szCs w:val="22"/>
                <w:lang w:val="en-US"/>
              </w:rPr>
              <w:t>Have initiated and demonstrated in vivo proof of principle for the development of clinically relevant molecular mechanisms or targets in cancers relevant to Māori and Pacific Peoples.</w:t>
            </w:r>
          </w:p>
          <w:p w14:paraId="4960093F"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2028:  </w:t>
            </w:r>
          </w:p>
          <w:p w14:paraId="044F8E3B" w14:textId="77777777" w:rsidR="00E16BCF" w:rsidRPr="00E16BCF" w:rsidRDefault="00E16BCF" w:rsidP="00E16BCF">
            <w:pPr>
              <w:tabs>
                <w:tab w:val="left" w:pos="7088"/>
                <w:tab w:val="right" w:pos="9370"/>
              </w:tabs>
              <w:ind w:left="731" w:hanging="425"/>
              <w:rPr>
                <w:rFonts w:ascii="Arial" w:hAnsi="Arial" w:cs="Arial"/>
                <w:sz w:val="22"/>
                <w:szCs w:val="22"/>
              </w:rPr>
            </w:pPr>
            <w:r w:rsidRPr="00E16BCF">
              <w:rPr>
                <w:rFonts w:ascii="Arial" w:hAnsi="Arial" w:cs="Arial"/>
                <w:b/>
                <w:bCs/>
                <w:sz w:val="22"/>
                <w:szCs w:val="22"/>
              </w:rPr>
              <w:t>•</w:t>
            </w:r>
            <w:r w:rsidRPr="00E16BCF">
              <w:rPr>
                <w:rFonts w:ascii="Arial" w:hAnsi="Arial" w:cs="Arial"/>
                <w:sz w:val="22"/>
                <w:szCs w:val="22"/>
              </w:rPr>
              <w:tab/>
              <w:t>Have produced outputs such as publications, IP, and reports to stakeholders including Māori and Pacific communities</w:t>
            </w:r>
          </w:p>
          <w:p w14:paraId="7B1026D3" w14:textId="77777777" w:rsidR="00E16BCF" w:rsidRPr="00E16BCF" w:rsidRDefault="00E16BCF" w:rsidP="00E16BCF">
            <w:pPr>
              <w:tabs>
                <w:tab w:val="left" w:pos="7088"/>
                <w:tab w:val="right" w:pos="9370"/>
              </w:tabs>
              <w:ind w:left="729" w:hanging="425"/>
              <w:rPr>
                <w:rFonts w:ascii="Arial" w:hAnsi="Arial" w:cs="Arial"/>
                <w:sz w:val="22"/>
                <w:szCs w:val="22"/>
              </w:rPr>
            </w:pPr>
            <w:r w:rsidRPr="00E16BCF">
              <w:rPr>
                <w:rFonts w:ascii="Arial" w:hAnsi="Arial" w:cs="Arial"/>
                <w:b/>
                <w:bCs/>
                <w:sz w:val="22"/>
                <w:szCs w:val="22"/>
              </w:rPr>
              <w:t>•</w:t>
            </w:r>
            <w:r w:rsidRPr="00E16BCF">
              <w:rPr>
                <w:rFonts w:ascii="Arial" w:hAnsi="Arial" w:cs="Arial"/>
                <w:sz w:val="22"/>
                <w:szCs w:val="22"/>
              </w:rPr>
              <w:tab/>
              <w:t>Have analyzed and demonstrated relationships between companion biomarkers and clinical opportunities or outcomes</w:t>
            </w:r>
          </w:p>
          <w:p w14:paraId="15489B42" w14:textId="77777777" w:rsidR="007D61E6" w:rsidRPr="00E16BCF" w:rsidRDefault="007D61E6" w:rsidP="00764CC3">
            <w:pPr>
              <w:tabs>
                <w:tab w:val="left" w:pos="1276"/>
                <w:tab w:val="left" w:pos="7088"/>
                <w:tab w:val="right" w:pos="9370"/>
              </w:tabs>
              <w:spacing w:before="120"/>
              <w:rPr>
                <w:rFonts w:ascii="Arial" w:hAnsi="Arial" w:cs="Arial"/>
                <w:sz w:val="22"/>
                <w:szCs w:val="22"/>
                <w:u w:val="single"/>
              </w:rPr>
            </w:pPr>
          </w:p>
        </w:tc>
      </w:tr>
      <w:tr w:rsidR="007D61E6" w14:paraId="40F90BD1" w14:textId="77777777" w:rsidTr="00C911F2">
        <w:trPr>
          <w:trHeight w:val="645"/>
          <w:jc w:val="center"/>
        </w:trPr>
        <w:tc>
          <w:tcPr>
            <w:tcW w:w="10078" w:type="dxa"/>
            <w:tcBorders>
              <w:top w:val="single" w:sz="4" w:space="0" w:color="000000"/>
              <w:left w:val="single" w:sz="4" w:space="0" w:color="000000"/>
              <w:bottom w:val="nil"/>
              <w:right w:val="single" w:sz="4" w:space="0" w:color="000000"/>
            </w:tcBorders>
            <w:shd w:val="clear" w:color="auto" w:fill="FFFFFF"/>
          </w:tcPr>
          <w:p w14:paraId="00409A07" w14:textId="77777777" w:rsidR="007D61E6" w:rsidRDefault="00E16BCF" w:rsidP="00764CC3">
            <w:pPr>
              <w:pStyle w:val="Heading2"/>
              <w:rPr>
                <w:sz w:val="28"/>
                <w:szCs w:val="28"/>
              </w:rPr>
            </w:pPr>
            <w:bookmarkStart w:id="16" w:name="_Toc170821713"/>
            <w:r w:rsidRPr="00E16BCF">
              <w:rPr>
                <w:sz w:val="28"/>
                <w:szCs w:val="28"/>
              </w:rPr>
              <w:lastRenderedPageBreak/>
              <w:t>Research programme 3: The delivery and implementation of precision medicine for cancer patients in Aotearoa New Zealand</w:t>
            </w:r>
            <w:bookmarkEnd w:id="16"/>
          </w:p>
          <w:p w14:paraId="436CD375" w14:textId="6247D99D" w:rsidR="00E16BCF" w:rsidRPr="00E16BCF" w:rsidRDefault="00E16BCF" w:rsidP="00E16BCF">
            <w:pPr>
              <w:rPr>
                <w:lang w:val="x-none" w:eastAsia="x-none"/>
              </w:rPr>
            </w:pPr>
          </w:p>
        </w:tc>
      </w:tr>
      <w:tr w:rsidR="007D61E6" w14:paraId="178E5E05" w14:textId="77777777" w:rsidTr="00C911F2">
        <w:trPr>
          <w:trHeight w:val="645"/>
          <w:jc w:val="center"/>
        </w:trPr>
        <w:tc>
          <w:tcPr>
            <w:tcW w:w="10078" w:type="dxa"/>
            <w:tcBorders>
              <w:top w:val="nil"/>
            </w:tcBorders>
          </w:tcPr>
          <w:p w14:paraId="5A780804" w14:textId="77777777" w:rsidR="00E16BCF" w:rsidRPr="00E16BCF" w:rsidRDefault="00E16BCF" w:rsidP="00E16BCF">
            <w:pPr>
              <w:tabs>
                <w:tab w:val="left" w:pos="1276"/>
                <w:tab w:val="left" w:pos="4084"/>
              </w:tabs>
              <w:rPr>
                <w:rFonts w:ascii="Arial" w:hAnsi="Arial" w:cs="Arial"/>
                <w:sz w:val="22"/>
                <w:szCs w:val="22"/>
                <w:lang w:val="en-US"/>
              </w:rPr>
            </w:pPr>
            <w:r w:rsidRPr="00E16BCF">
              <w:rPr>
                <w:rFonts w:ascii="Arial" w:hAnsi="Arial" w:cs="Arial"/>
                <w:sz w:val="22"/>
                <w:szCs w:val="22"/>
              </w:rPr>
              <w:t>Programme 3 focusses on the delivery and implementation of precision medicine to cancer patients in NZ, prioritising the translation and clinical implementation of MWC research, including research from programmes 1 and 2 above. It positions the MWC to take advantage of the growing support of precision medicine by the NZ government, including international trials. For instance the program will provide a platform for identification and initial trials of novel biomarkers including blood plasma biomarkers as well as clinically relevant biomarkers of immune responses generated in our 2021-2024 research.</w:t>
            </w:r>
            <w:r w:rsidRPr="00E16BCF">
              <w:rPr>
                <w:rFonts w:ascii="Arial" w:hAnsi="Arial" w:cs="Arial"/>
                <w:sz w:val="22"/>
                <w:szCs w:val="22"/>
                <w:lang w:val="en-US"/>
              </w:rPr>
              <w:t xml:space="preserve"> It will facilitate fail-fast retrospective trials of companion diagnostic biomarkers for therapies developed by the </w:t>
            </w:r>
            <w:r w:rsidRPr="00E16BCF">
              <w:rPr>
                <w:rFonts w:ascii="Arial" w:hAnsi="Arial" w:cs="Arial"/>
                <w:sz w:val="22"/>
                <w:szCs w:val="22"/>
              </w:rPr>
              <w:t xml:space="preserve">2025-2028 </w:t>
            </w:r>
            <w:r w:rsidRPr="00E16BCF">
              <w:rPr>
                <w:rFonts w:ascii="Arial" w:hAnsi="Arial" w:cs="Arial"/>
                <w:sz w:val="22"/>
                <w:szCs w:val="22"/>
                <w:lang w:val="en-US"/>
              </w:rPr>
              <w:t xml:space="preserve">MWC Programme 1. </w:t>
            </w:r>
            <w:r w:rsidRPr="00E16BCF">
              <w:rPr>
                <w:rFonts w:ascii="Arial" w:hAnsi="Arial" w:cs="Arial"/>
                <w:sz w:val="22"/>
                <w:szCs w:val="22"/>
              </w:rPr>
              <w:t>It will support MWC scientists to apply their capabilities in bioinformatics and CRISPR technologies to determine the clinical relevance of DNA variants of unknown significance in the tumours of NZ patients. It will also facilitate MWC scientists with expertise in particular molecular classes to play a role in multi-disciplinary clinical meetings, where their expertise is clinically relevant (as several MWC biologists already do).</w:t>
            </w:r>
            <w:r w:rsidRPr="00E16BCF">
              <w:rPr>
                <w:rFonts w:ascii="Arial" w:hAnsi="Arial" w:cs="Arial"/>
                <w:sz w:val="22"/>
                <w:szCs w:val="22"/>
                <w:lang w:val="en-US"/>
              </w:rPr>
              <w:t xml:space="preserve"> </w:t>
            </w:r>
            <w:r w:rsidRPr="00E16BCF">
              <w:rPr>
                <w:rFonts w:ascii="Arial" w:hAnsi="Arial" w:cs="Arial"/>
                <w:sz w:val="22"/>
                <w:szCs w:val="22"/>
              </w:rPr>
              <w:t>The program will leverage MWC-supported capabilities such as its Clinical Associate Investigators, biobanking and clinical registers, commercialisation mentors and technology mentors, early and mid-career researchers, as well as MWC members who are Māori and Pacific leaders in oncology</w:t>
            </w:r>
            <w:r w:rsidRPr="00E16BCF">
              <w:rPr>
                <w:rFonts w:ascii="Arial" w:hAnsi="Arial" w:cs="Arial"/>
                <w:sz w:val="22"/>
                <w:szCs w:val="22"/>
                <w:lang w:val="en-US"/>
              </w:rPr>
              <w:t>.</w:t>
            </w:r>
          </w:p>
          <w:p w14:paraId="49D87212" w14:textId="77777777" w:rsidR="00E16BCF" w:rsidRPr="00E16BCF" w:rsidRDefault="00E16BCF" w:rsidP="00E16BCF">
            <w:pPr>
              <w:tabs>
                <w:tab w:val="left" w:pos="1276"/>
                <w:tab w:val="left" w:pos="7088"/>
                <w:tab w:val="right" w:pos="9370"/>
              </w:tabs>
              <w:spacing w:before="240" w:after="240"/>
              <w:rPr>
                <w:rFonts w:ascii="Arial" w:hAnsi="Arial" w:cs="Arial"/>
                <w:b/>
                <w:sz w:val="22"/>
                <w:szCs w:val="22"/>
              </w:rPr>
            </w:pPr>
            <w:r w:rsidRPr="00E16BCF">
              <w:rPr>
                <w:rFonts w:ascii="Arial" w:hAnsi="Arial" w:cs="Arial"/>
                <w:b/>
                <w:sz w:val="22"/>
                <w:szCs w:val="22"/>
              </w:rPr>
              <w:t>Annual plan milestones</w:t>
            </w:r>
          </w:p>
          <w:p w14:paraId="0F9CF69B"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2025:  </w:t>
            </w:r>
          </w:p>
          <w:p w14:paraId="13AD5886"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sz w:val="22"/>
                <w:szCs w:val="22"/>
                <w:lang w:val="en-US"/>
              </w:rPr>
            </w:pPr>
            <w:r w:rsidRPr="00E16BCF">
              <w:rPr>
                <w:rFonts w:ascii="Arial" w:hAnsi="Arial" w:cs="Arial"/>
                <w:b/>
                <w:bCs/>
                <w:sz w:val="22"/>
                <w:szCs w:val="22"/>
                <w:lang w:val="en-US"/>
              </w:rPr>
              <w:t>•</w:t>
            </w:r>
            <w:r w:rsidRPr="00E16BCF">
              <w:rPr>
                <w:rFonts w:ascii="Arial" w:hAnsi="Arial" w:cs="Arial"/>
                <w:b/>
                <w:bCs/>
                <w:sz w:val="22"/>
                <w:szCs w:val="22"/>
                <w:lang w:val="en-US"/>
              </w:rPr>
              <w:tab/>
            </w:r>
            <w:r w:rsidRPr="00E16BCF">
              <w:rPr>
                <w:rFonts w:ascii="Arial" w:hAnsi="Arial" w:cs="Arial"/>
                <w:sz w:val="22"/>
                <w:szCs w:val="22"/>
                <w:lang w:val="en-US"/>
              </w:rPr>
              <w:t>Have established capability networks, clinical implementation protocols and regulatory approvals to advance development of clinically relevant interventions and tests in cancers relevant to Māori and Pacific Peoples.</w:t>
            </w:r>
          </w:p>
          <w:p w14:paraId="7C29D9B4" w14:textId="77777777" w:rsid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sz w:val="22"/>
                <w:szCs w:val="22"/>
                <w:lang w:val="en-US"/>
              </w:rPr>
            </w:pPr>
            <w:r w:rsidRPr="00E16BCF">
              <w:rPr>
                <w:rFonts w:ascii="Arial" w:hAnsi="Arial" w:cs="Arial"/>
                <w:b/>
                <w:bCs/>
                <w:sz w:val="22"/>
                <w:szCs w:val="22"/>
                <w:lang w:val="en-US"/>
              </w:rPr>
              <w:t>•</w:t>
            </w:r>
            <w:r w:rsidRPr="00E16BCF">
              <w:rPr>
                <w:rFonts w:ascii="Arial" w:hAnsi="Arial" w:cs="Arial"/>
                <w:sz w:val="22"/>
                <w:szCs w:val="22"/>
                <w:lang w:val="en-US"/>
              </w:rPr>
              <w:tab/>
              <w:t>Have initiated support of up to 3 projects that advance translation and implementation of clinically relevant therapies and biomarker tests in cancers relevant to Māori and Pacific Peoples.</w:t>
            </w:r>
          </w:p>
          <w:p w14:paraId="56F5EB85"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sz w:val="22"/>
                <w:szCs w:val="22"/>
                <w:lang w:val="en-US"/>
              </w:rPr>
            </w:pPr>
          </w:p>
          <w:p w14:paraId="6C91C41A"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2026:  </w:t>
            </w:r>
          </w:p>
          <w:p w14:paraId="2F1D0113" w14:textId="77777777" w:rsid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b/>
                <w:bCs/>
                <w:sz w:val="22"/>
                <w:szCs w:val="22"/>
                <w:lang w:val="en-US"/>
              </w:rPr>
            </w:pPr>
            <w:r w:rsidRPr="00E16BCF">
              <w:rPr>
                <w:rFonts w:ascii="Arial" w:hAnsi="Arial" w:cs="Arial"/>
                <w:b/>
                <w:bCs/>
                <w:sz w:val="22"/>
                <w:szCs w:val="22"/>
                <w:lang w:val="en-US"/>
              </w:rPr>
              <w:t>•</w:t>
            </w:r>
            <w:r w:rsidRPr="00E16BCF">
              <w:rPr>
                <w:rFonts w:ascii="Arial" w:hAnsi="Arial" w:cs="Arial"/>
                <w:sz w:val="22"/>
                <w:szCs w:val="22"/>
                <w:lang w:val="en-US"/>
              </w:rPr>
              <w:tab/>
              <w:t>Have initiated testing of clinically relevant therapies and tests in pre-clinical cancer models and clinically relevant tests in cancer patients.</w:t>
            </w:r>
            <w:r w:rsidRPr="00E16BCF">
              <w:rPr>
                <w:rFonts w:ascii="Arial" w:hAnsi="Arial" w:cs="Arial"/>
                <w:b/>
                <w:bCs/>
                <w:sz w:val="22"/>
                <w:szCs w:val="22"/>
                <w:lang w:val="en-US"/>
              </w:rPr>
              <w:t xml:space="preserve"> </w:t>
            </w:r>
          </w:p>
          <w:p w14:paraId="3AFF735F"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sz w:val="22"/>
                <w:szCs w:val="22"/>
                <w:lang w:val="en-US"/>
              </w:rPr>
            </w:pPr>
          </w:p>
          <w:p w14:paraId="06BEF179"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2027:  </w:t>
            </w:r>
          </w:p>
          <w:p w14:paraId="664271F1" w14:textId="77777777" w:rsid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sz w:val="22"/>
                <w:szCs w:val="22"/>
                <w:lang w:val="en-US"/>
              </w:rPr>
            </w:pPr>
            <w:r w:rsidRPr="00E16BCF">
              <w:rPr>
                <w:rFonts w:ascii="Arial" w:hAnsi="Arial" w:cs="Arial"/>
                <w:b/>
                <w:bCs/>
                <w:sz w:val="22"/>
                <w:szCs w:val="22"/>
                <w:lang w:val="en-US"/>
              </w:rPr>
              <w:t>•</w:t>
            </w:r>
            <w:r w:rsidRPr="00E16BCF">
              <w:rPr>
                <w:rFonts w:ascii="Arial" w:hAnsi="Arial" w:cs="Arial"/>
                <w:b/>
                <w:bCs/>
                <w:sz w:val="22"/>
                <w:szCs w:val="22"/>
                <w:lang w:val="en-US"/>
              </w:rPr>
              <w:tab/>
            </w:r>
            <w:r w:rsidRPr="00E16BCF">
              <w:rPr>
                <w:rFonts w:ascii="Arial" w:hAnsi="Arial" w:cs="Arial"/>
                <w:sz w:val="22"/>
                <w:szCs w:val="22"/>
                <w:lang w:val="en-US"/>
              </w:rPr>
              <w:t>Have reviewed outcomes of pre-clinical testing and initiated testing a limited number of most promising clinical interventions and tests for clinical implementation.</w:t>
            </w:r>
          </w:p>
          <w:p w14:paraId="2EF8AB07"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b/>
                <w:bCs/>
                <w:sz w:val="22"/>
                <w:szCs w:val="22"/>
                <w:lang w:val="en-US"/>
              </w:rPr>
            </w:pPr>
          </w:p>
          <w:p w14:paraId="1E1A133A"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16BCF">
              <w:rPr>
                <w:rFonts w:ascii="Arial" w:hAnsi="Arial" w:cs="Arial"/>
                <w:sz w:val="22"/>
                <w:szCs w:val="22"/>
              </w:rPr>
              <w:t xml:space="preserve">2028: </w:t>
            </w:r>
          </w:p>
          <w:p w14:paraId="69606864" w14:textId="77777777" w:rsidR="00E16BCF" w:rsidRPr="00E16BCF" w:rsidRDefault="00E16BCF" w:rsidP="00E16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89" w:hanging="283"/>
              <w:rPr>
                <w:rFonts w:ascii="Arial" w:hAnsi="Arial" w:cs="Arial"/>
                <w:b/>
                <w:bCs/>
                <w:sz w:val="22"/>
                <w:szCs w:val="22"/>
                <w:lang w:val="en-US"/>
              </w:rPr>
            </w:pPr>
            <w:r w:rsidRPr="00E16BCF">
              <w:rPr>
                <w:rFonts w:ascii="Arial" w:hAnsi="Arial" w:cs="Arial"/>
                <w:b/>
                <w:bCs/>
                <w:sz w:val="22"/>
                <w:szCs w:val="22"/>
                <w:lang w:val="en-US"/>
              </w:rPr>
              <w:t>•</w:t>
            </w:r>
            <w:r w:rsidRPr="00E16BCF">
              <w:rPr>
                <w:rFonts w:ascii="Arial" w:hAnsi="Arial" w:cs="Arial"/>
                <w:b/>
                <w:bCs/>
                <w:sz w:val="22"/>
                <w:szCs w:val="22"/>
                <w:lang w:val="en-US"/>
              </w:rPr>
              <w:tab/>
            </w:r>
            <w:r w:rsidRPr="00E16BCF">
              <w:rPr>
                <w:rFonts w:ascii="Arial" w:hAnsi="Arial" w:cs="Arial"/>
                <w:sz w:val="22"/>
                <w:szCs w:val="22"/>
                <w:lang w:val="en-US"/>
              </w:rPr>
              <w:t>Have completed evaluation of translation and implementation of clinically relevant therapies and tests in cancers relevant to Māori and Pacific Peoples</w:t>
            </w:r>
            <w:r w:rsidRPr="00E16BCF">
              <w:rPr>
                <w:rFonts w:ascii="Arial" w:hAnsi="Arial" w:cs="Arial"/>
                <w:b/>
                <w:bCs/>
                <w:sz w:val="22"/>
                <w:szCs w:val="22"/>
                <w:lang w:val="en-US"/>
              </w:rPr>
              <w:t>.</w:t>
            </w:r>
          </w:p>
          <w:p w14:paraId="055B3860" w14:textId="3291B9BE" w:rsidR="007D61E6" w:rsidRPr="006E7ADC" w:rsidRDefault="00E16BCF" w:rsidP="00E16BCF">
            <w:pPr>
              <w:tabs>
                <w:tab w:val="left" w:pos="1276"/>
                <w:tab w:val="left" w:pos="7088"/>
                <w:tab w:val="right" w:pos="9370"/>
              </w:tabs>
              <w:ind w:left="720"/>
              <w:jc w:val="both"/>
              <w:rPr>
                <w:i/>
                <w:sz w:val="22"/>
                <w:szCs w:val="22"/>
              </w:rPr>
            </w:pPr>
            <w:r w:rsidRPr="00E16BCF">
              <w:rPr>
                <w:rFonts w:ascii="Arial" w:hAnsi="Arial" w:cs="Arial"/>
                <w:sz w:val="22"/>
                <w:szCs w:val="22"/>
                <w:lang w:val="en-US"/>
              </w:rPr>
              <w:t>Have implemented some outcomes into the clinic or diagnostic sector with focus on reducing inequity in cancer outcomes of Māori and Pacific Peoples.</w:t>
            </w:r>
          </w:p>
        </w:tc>
      </w:tr>
    </w:tbl>
    <w:p w14:paraId="4BB9A08F" w14:textId="77777777" w:rsidR="007D61E6" w:rsidRDefault="007D61E6" w:rsidP="007D61E6"/>
    <w:p w14:paraId="7C6FDB65" w14:textId="77777777" w:rsidR="00DC000B" w:rsidRDefault="00DC000B">
      <w:bookmarkStart w:id="17" w:name="_Toc170821714"/>
      <w:r>
        <w:br w:type="page"/>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78"/>
      </w:tblGrid>
      <w:tr w:rsidR="00E16BCF" w14:paraId="4125E75B" w14:textId="77777777" w:rsidTr="00C911F2">
        <w:trPr>
          <w:trHeight w:val="465"/>
          <w:jc w:val="center"/>
        </w:trPr>
        <w:tc>
          <w:tcPr>
            <w:tcW w:w="10078" w:type="dxa"/>
            <w:tcBorders>
              <w:top w:val="single" w:sz="4" w:space="0" w:color="000000"/>
              <w:left w:val="single" w:sz="4" w:space="0" w:color="000000"/>
              <w:bottom w:val="single" w:sz="4" w:space="0" w:color="000000"/>
              <w:right w:val="single" w:sz="4" w:space="0" w:color="000000"/>
            </w:tcBorders>
            <w:shd w:val="clear" w:color="auto" w:fill="FFFFFF"/>
          </w:tcPr>
          <w:p w14:paraId="794402A2" w14:textId="5C2E6F47" w:rsidR="00E16BCF" w:rsidRDefault="00E16BCF" w:rsidP="00585E9E">
            <w:pPr>
              <w:pStyle w:val="Heading2"/>
              <w:rPr>
                <w:sz w:val="22"/>
                <w:szCs w:val="22"/>
              </w:rPr>
            </w:pPr>
            <w:r>
              <w:lastRenderedPageBreak/>
              <w:t>Theme 4 – Integration across the themes</w:t>
            </w:r>
            <w:bookmarkEnd w:id="17"/>
            <w:r>
              <w:t xml:space="preserve"> </w:t>
            </w:r>
          </w:p>
        </w:tc>
      </w:tr>
      <w:tr w:rsidR="00E16BCF" w14:paraId="5A8CD65E" w14:textId="77777777" w:rsidTr="00C911F2">
        <w:trPr>
          <w:trHeight w:val="465"/>
          <w:jc w:val="center"/>
        </w:trPr>
        <w:tc>
          <w:tcPr>
            <w:tcW w:w="10078" w:type="dxa"/>
            <w:tcBorders>
              <w:bottom w:val="nil"/>
            </w:tcBorders>
            <w:shd w:val="clear" w:color="auto" w:fill="FFFFFF"/>
          </w:tcPr>
          <w:p w14:paraId="6629541D" w14:textId="77777777" w:rsidR="00E16BCF" w:rsidRPr="00E16BCF" w:rsidRDefault="00E16BCF" w:rsidP="00585E9E">
            <w:pPr>
              <w:pStyle w:val="Heading2"/>
              <w:rPr>
                <w:sz w:val="28"/>
                <w:szCs w:val="28"/>
              </w:rPr>
            </w:pPr>
            <w:bookmarkStart w:id="18" w:name="_Toc170821715"/>
            <w:r w:rsidRPr="00E16BCF">
              <w:rPr>
                <w:sz w:val="28"/>
                <w:szCs w:val="28"/>
              </w:rPr>
              <w:t>Overview</w:t>
            </w:r>
            <w:bookmarkEnd w:id="18"/>
          </w:p>
        </w:tc>
      </w:tr>
      <w:tr w:rsidR="00E16BCF" w14:paraId="631CA8F5" w14:textId="77777777" w:rsidTr="00C911F2">
        <w:trPr>
          <w:trHeight w:val="613"/>
          <w:jc w:val="center"/>
        </w:trPr>
        <w:tc>
          <w:tcPr>
            <w:tcW w:w="10078" w:type="dxa"/>
            <w:tcBorders>
              <w:top w:val="nil"/>
              <w:bottom w:val="single" w:sz="4" w:space="0" w:color="000000"/>
            </w:tcBorders>
          </w:tcPr>
          <w:p w14:paraId="6808BB53" w14:textId="77777777" w:rsidR="00E16BCF" w:rsidRPr="00E16BCF" w:rsidRDefault="00E16BCF" w:rsidP="00585E9E">
            <w:pPr>
              <w:tabs>
                <w:tab w:val="left" w:pos="1276"/>
                <w:tab w:val="left" w:pos="7088"/>
                <w:tab w:val="right" w:pos="9370"/>
              </w:tabs>
              <w:spacing w:before="120"/>
              <w:rPr>
                <w:rFonts w:ascii="Arial" w:hAnsi="Arial" w:cs="Arial"/>
                <w:sz w:val="22"/>
                <w:szCs w:val="22"/>
              </w:rPr>
            </w:pPr>
            <w:r w:rsidRPr="00E16BCF">
              <w:rPr>
                <w:rFonts w:ascii="Arial" w:hAnsi="Arial" w:cs="Arial"/>
                <w:sz w:val="22"/>
                <w:szCs w:val="22"/>
              </w:rPr>
              <w:t>Work during 2021-2024 has focused on the three themes described above, but it has become clear (and was particularly emphasised in the report from our international Science Advisory Board) that there would be benefits from further integration and interdisciplinary collaboration that bridges across the current themes, building on the expertise and technical developments across the breadth of the MWC network.  To this end, during 2025-2028, significant effort will be placed into development of additional projects or programmes that use experience from researchers within more than one theme.  At this stage, this is still under development, but some examples that have been identified for further discussion:</w:t>
            </w:r>
          </w:p>
          <w:p w14:paraId="32073D90" w14:textId="77777777" w:rsidR="00E16BCF" w:rsidRPr="00E16BCF" w:rsidRDefault="00E16BCF" w:rsidP="00585E9E">
            <w:pPr>
              <w:tabs>
                <w:tab w:val="left" w:pos="1276"/>
                <w:tab w:val="left" w:pos="7088"/>
                <w:tab w:val="right" w:pos="9370"/>
              </w:tabs>
              <w:spacing w:before="120"/>
              <w:rPr>
                <w:rFonts w:ascii="Arial" w:hAnsi="Arial" w:cs="Arial"/>
                <w:sz w:val="22"/>
                <w:szCs w:val="22"/>
              </w:rPr>
            </w:pPr>
            <w:r w:rsidRPr="00E16BCF">
              <w:rPr>
                <w:rFonts w:ascii="Arial" w:hAnsi="Arial" w:cs="Arial"/>
                <w:sz w:val="22"/>
                <w:szCs w:val="22"/>
              </w:rPr>
              <w:t xml:space="preserve">1) A programme focused on extending the population-specific precision medicine approach, currently being developed within the metabolic theme, to wider aspects of our research. This also includes extending the underpinning quantitative genetics and data science techniques. For example, this approach could be used to determine how </w:t>
            </w:r>
            <w:r w:rsidRPr="00E16BCF">
              <w:rPr>
                <w:rFonts w:ascii="Arial" w:hAnsi="Arial" w:cs="Arial"/>
                <w:color w:val="212121"/>
                <w:sz w:val="22"/>
                <w:szCs w:val="22"/>
              </w:rPr>
              <w:t xml:space="preserve">genetic factors that are unique to Māori and Pacific populations </w:t>
            </w:r>
            <w:r w:rsidRPr="00E16BCF">
              <w:rPr>
                <w:rFonts w:ascii="Arial" w:hAnsi="Arial" w:cs="Arial"/>
                <w:sz w:val="22"/>
                <w:szCs w:val="22"/>
              </w:rPr>
              <w:t>may be informative in identifying risk and/or treatment options in cancer, and potentially in understanding the individual host response to infectious disease.</w:t>
            </w:r>
          </w:p>
          <w:p w14:paraId="5AD1920E" w14:textId="77777777" w:rsidR="00E16BCF" w:rsidRPr="00E16BCF" w:rsidRDefault="00E16BCF" w:rsidP="00585E9E">
            <w:pPr>
              <w:tabs>
                <w:tab w:val="left" w:pos="1276"/>
                <w:tab w:val="left" w:pos="7088"/>
                <w:tab w:val="right" w:pos="9370"/>
              </w:tabs>
              <w:spacing w:before="120"/>
              <w:rPr>
                <w:rFonts w:ascii="Arial" w:hAnsi="Arial" w:cs="Arial"/>
                <w:sz w:val="22"/>
                <w:szCs w:val="22"/>
              </w:rPr>
            </w:pPr>
            <w:r w:rsidRPr="00E16BCF">
              <w:rPr>
                <w:rFonts w:ascii="Arial" w:hAnsi="Arial" w:cs="Arial"/>
                <w:sz w:val="22"/>
                <w:szCs w:val="22"/>
              </w:rPr>
              <w:t>2) A project evaluating how a genetic variant in SLC22A3 might impact on use of platinum-based drugs in cancer treatment.  This variant was identified in the screening studies completed within the metabolic health theme, and is currently under evaluation within that theme as it seems to alter rates of transport of the diabetes medication, metformin.  However, other international studies have shown that this same transporter is also important for the transport of a class of platinum-based chemotherapy drugs.  This means that Māori and Pacific individuals who carry this variant (up to 20% of individuals) may respond differently to these toxic compounds.  Such knowledge could mean a simple genetic test could markedly alter selected modes of cancer treatments.</w:t>
            </w:r>
          </w:p>
          <w:p w14:paraId="34DD0DA3" w14:textId="77777777" w:rsidR="00E16BCF" w:rsidRPr="00E16BCF" w:rsidRDefault="00E16BCF" w:rsidP="00585E9E">
            <w:pPr>
              <w:tabs>
                <w:tab w:val="left" w:pos="1276"/>
                <w:tab w:val="left" w:pos="7088"/>
                <w:tab w:val="right" w:pos="9370"/>
              </w:tabs>
              <w:spacing w:before="240"/>
              <w:rPr>
                <w:rFonts w:ascii="Arial" w:hAnsi="Arial" w:cs="Arial"/>
                <w:b/>
                <w:sz w:val="22"/>
                <w:szCs w:val="22"/>
              </w:rPr>
            </w:pPr>
            <w:r w:rsidRPr="00E16BCF">
              <w:rPr>
                <w:rFonts w:ascii="Arial" w:hAnsi="Arial" w:cs="Arial"/>
                <w:b/>
                <w:sz w:val="22"/>
                <w:szCs w:val="22"/>
              </w:rPr>
              <w:t>Annual plan milestones</w:t>
            </w:r>
          </w:p>
          <w:p w14:paraId="1F60E4EF" w14:textId="77777777" w:rsidR="00E16BCF" w:rsidRPr="00E16BCF" w:rsidRDefault="00E16BCF" w:rsidP="00585E9E">
            <w:pPr>
              <w:tabs>
                <w:tab w:val="left" w:pos="1276"/>
                <w:tab w:val="left" w:pos="4084"/>
              </w:tabs>
              <w:rPr>
                <w:rFonts w:ascii="Arial" w:hAnsi="Arial" w:cs="Arial"/>
                <w:sz w:val="22"/>
                <w:szCs w:val="22"/>
              </w:rPr>
            </w:pPr>
          </w:p>
          <w:p w14:paraId="633B5992" w14:textId="77777777" w:rsidR="00E16BCF" w:rsidRPr="00E16BCF" w:rsidRDefault="00E16BCF" w:rsidP="00585E9E">
            <w:pPr>
              <w:tabs>
                <w:tab w:val="left" w:pos="729"/>
                <w:tab w:val="left" w:pos="4084"/>
              </w:tabs>
              <w:ind w:left="729" w:hanging="729"/>
              <w:rPr>
                <w:rFonts w:ascii="Arial" w:hAnsi="Arial" w:cs="Arial"/>
                <w:sz w:val="22"/>
                <w:szCs w:val="22"/>
              </w:rPr>
            </w:pPr>
            <w:r w:rsidRPr="00E16BCF">
              <w:rPr>
                <w:rFonts w:ascii="Arial" w:hAnsi="Arial" w:cs="Arial"/>
                <w:sz w:val="22"/>
                <w:szCs w:val="22"/>
              </w:rPr>
              <w:t>2025:</w:t>
            </w:r>
            <w:r w:rsidRPr="00E16BCF">
              <w:rPr>
                <w:rFonts w:ascii="Arial" w:hAnsi="Arial" w:cs="Arial"/>
                <w:sz w:val="22"/>
                <w:szCs w:val="22"/>
              </w:rPr>
              <w:tab/>
            </w:r>
          </w:p>
          <w:p w14:paraId="76E83171" w14:textId="77777777" w:rsidR="00E16BCF" w:rsidRPr="00E16BCF" w:rsidRDefault="00E16BCF" w:rsidP="00DC000B">
            <w:pPr>
              <w:pStyle w:val="ListParagraph"/>
              <w:numPr>
                <w:ilvl w:val="0"/>
                <w:numId w:val="30"/>
              </w:numPr>
              <w:tabs>
                <w:tab w:val="left" w:pos="729"/>
                <w:tab w:val="left" w:pos="4084"/>
              </w:tabs>
              <w:contextualSpacing/>
              <w:rPr>
                <w:rFonts w:ascii="Arial" w:hAnsi="Arial" w:cs="Arial"/>
                <w:sz w:val="22"/>
                <w:szCs w:val="22"/>
              </w:rPr>
            </w:pPr>
            <w:r w:rsidRPr="00E16BCF">
              <w:rPr>
                <w:rFonts w:ascii="Arial" w:hAnsi="Arial" w:cs="Arial"/>
                <w:sz w:val="22"/>
                <w:szCs w:val="22"/>
              </w:rPr>
              <w:t>Identify opportunities for development of “cross-theme” programmes or projects</w:t>
            </w:r>
          </w:p>
          <w:p w14:paraId="44BDC279" w14:textId="77777777" w:rsidR="00E16BCF" w:rsidRPr="00E16BCF" w:rsidRDefault="00E16BCF" w:rsidP="00585E9E">
            <w:pPr>
              <w:tabs>
                <w:tab w:val="left" w:pos="729"/>
                <w:tab w:val="left" w:pos="4084"/>
              </w:tabs>
              <w:ind w:left="729" w:hanging="729"/>
              <w:rPr>
                <w:rFonts w:ascii="Arial" w:hAnsi="Arial" w:cs="Arial"/>
                <w:sz w:val="22"/>
                <w:szCs w:val="22"/>
              </w:rPr>
            </w:pPr>
          </w:p>
          <w:p w14:paraId="3EDA70B4" w14:textId="77777777" w:rsidR="00E16BCF" w:rsidRPr="00E16BCF" w:rsidRDefault="00E16BCF" w:rsidP="00585E9E">
            <w:pPr>
              <w:tabs>
                <w:tab w:val="left" w:pos="729"/>
                <w:tab w:val="left" w:pos="4084"/>
              </w:tabs>
              <w:ind w:left="729" w:hanging="729"/>
              <w:rPr>
                <w:rFonts w:ascii="Arial" w:hAnsi="Arial" w:cs="Arial"/>
                <w:sz w:val="22"/>
                <w:szCs w:val="22"/>
              </w:rPr>
            </w:pPr>
            <w:r w:rsidRPr="00E16BCF">
              <w:rPr>
                <w:rFonts w:ascii="Arial" w:hAnsi="Arial" w:cs="Arial"/>
                <w:sz w:val="22"/>
                <w:szCs w:val="22"/>
              </w:rPr>
              <w:t>2026:</w:t>
            </w:r>
            <w:r w:rsidRPr="00E16BCF">
              <w:rPr>
                <w:rFonts w:ascii="Arial" w:hAnsi="Arial" w:cs="Arial"/>
                <w:sz w:val="22"/>
                <w:szCs w:val="22"/>
              </w:rPr>
              <w:tab/>
            </w:r>
          </w:p>
          <w:p w14:paraId="5D226D93" w14:textId="77777777" w:rsidR="00E16BCF" w:rsidRPr="00E16BCF" w:rsidRDefault="00E16BCF" w:rsidP="00DC000B">
            <w:pPr>
              <w:pStyle w:val="ListParagraph"/>
              <w:numPr>
                <w:ilvl w:val="0"/>
                <w:numId w:val="30"/>
              </w:numPr>
              <w:tabs>
                <w:tab w:val="left" w:pos="729"/>
                <w:tab w:val="left" w:pos="4084"/>
              </w:tabs>
              <w:contextualSpacing/>
              <w:rPr>
                <w:rFonts w:ascii="Arial" w:hAnsi="Arial" w:cs="Arial"/>
                <w:sz w:val="22"/>
                <w:szCs w:val="22"/>
              </w:rPr>
            </w:pPr>
            <w:r w:rsidRPr="00E16BCF">
              <w:rPr>
                <w:rFonts w:ascii="Arial" w:hAnsi="Arial" w:cs="Arial"/>
                <w:sz w:val="22"/>
                <w:szCs w:val="22"/>
              </w:rPr>
              <w:t>Initiate programme or project that integrates fundamental biology across research themes</w:t>
            </w:r>
          </w:p>
          <w:p w14:paraId="0CD2857C" w14:textId="77777777" w:rsidR="00E16BCF" w:rsidRPr="00E16BCF" w:rsidRDefault="00E16BCF" w:rsidP="00585E9E">
            <w:pPr>
              <w:tabs>
                <w:tab w:val="left" w:pos="729"/>
                <w:tab w:val="left" w:pos="4084"/>
              </w:tabs>
              <w:ind w:left="729" w:hanging="729"/>
              <w:rPr>
                <w:rFonts w:ascii="Arial" w:hAnsi="Arial" w:cs="Arial"/>
                <w:sz w:val="22"/>
                <w:szCs w:val="22"/>
              </w:rPr>
            </w:pPr>
          </w:p>
          <w:p w14:paraId="03579ACD" w14:textId="77777777" w:rsidR="00E16BCF" w:rsidRPr="00E16BCF" w:rsidRDefault="00E16BCF" w:rsidP="00585E9E">
            <w:pPr>
              <w:tabs>
                <w:tab w:val="left" w:pos="729"/>
                <w:tab w:val="left" w:pos="4084"/>
              </w:tabs>
              <w:ind w:left="729" w:hanging="729"/>
              <w:rPr>
                <w:rFonts w:ascii="Arial" w:hAnsi="Arial" w:cs="Arial"/>
                <w:sz w:val="22"/>
                <w:szCs w:val="22"/>
              </w:rPr>
            </w:pPr>
            <w:r w:rsidRPr="00E16BCF">
              <w:rPr>
                <w:rFonts w:ascii="Arial" w:hAnsi="Arial" w:cs="Arial"/>
                <w:sz w:val="22"/>
                <w:szCs w:val="22"/>
              </w:rPr>
              <w:t>2027:</w:t>
            </w:r>
            <w:r w:rsidRPr="00E16BCF">
              <w:rPr>
                <w:rFonts w:ascii="Arial" w:hAnsi="Arial" w:cs="Arial"/>
                <w:sz w:val="22"/>
                <w:szCs w:val="22"/>
              </w:rPr>
              <w:tab/>
            </w:r>
          </w:p>
          <w:p w14:paraId="52DA5927" w14:textId="77777777" w:rsidR="00E16BCF" w:rsidRPr="00E16BCF" w:rsidRDefault="00E16BCF" w:rsidP="00DC000B">
            <w:pPr>
              <w:pStyle w:val="ListParagraph"/>
              <w:numPr>
                <w:ilvl w:val="0"/>
                <w:numId w:val="30"/>
              </w:numPr>
              <w:tabs>
                <w:tab w:val="left" w:pos="729"/>
                <w:tab w:val="left" w:pos="4084"/>
              </w:tabs>
              <w:contextualSpacing/>
              <w:rPr>
                <w:rFonts w:ascii="Arial" w:hAnsi="Arial" w:cs="Arial"/>
                <w:sz w:val="22"/>
                <w:szCs w:val="22"/>
              </w:rPr>
            </w:pPr>
            <w:r w:rsidRPr="00E16BCF">
              <w:rPr>
                <w:rFonts w:ascii="Arial" w:hAnsi="Arial" w:cs="Arial"/>
                <w:sz w:val="22"/>
                <w:szCs w:val="22"/>
              </w:rPr>
              <w:t>Continue integrated cross-theme research started in 2026</w:t>
            </w:r>
          </w:p>
          <w:p w14:paraId="1D9B0D3A" w14:textId="77777777" w:rsidR="00E16BCF" w:rsidRPr="00E16BCF" w:rsidRDefault="00E16BCF" w:rsidP="00585E9E">
            <w:pPr>
              <w:tabs>
                <w:tab w:val="left" w:pos="729"/>
                <w:tab w:val="left" w:pos="4084"/>
              </w:tabs>
              <w:ind w:left="729" w:hanging="729"/>
              <w:rPr>
                <w:rFonts w:ascii="Arial" w:hAnsi="Arial" w:cs="Arial"/>
                <w:sz w:val="22"/>
                <w:szCs w:val="22"/>
              </w:rPr>
            </w:pPr>
          </w:p>
          <w:p w14:paraId="60573EAA" w14:textId="77777777" w:rsidR="00E16BCF" w:rsidRPr="00E16BCF" w:rsidRDefault="00E16BCF" w:rsidP="00585E9E">
            <w:pPr>
              <w:tabs>
                <w:tab w:val="left" w:pos="729"/>
                <w:tab w:val="left" w:pos="4084"/>
              </w:tabs>
              <w:ind w:left="729" w:hanging="729"/>
              <w:rPr>
                <w:rFonts w:ascii="Arial" w:hAnsi="Arial" w:cs="Arial"/>
                <w:sz w:val="22"/>
                <w:szCs w:val="22"/>
              </w:rPr>
            </w:pPr>
            <w:r w:rsidRPr="00E16BCF">
              <w:rPr>
                <w:rFonts w:ascii="Arial" w:hAnsi="Arial" w:cs="Arial"/>
                <w:sz w:val="22"/>
                <w:szCs w:val="22"/>
              </w:rPr>
              <w:t>2028</w:t>
            </w:r>
            <w:r w:rsidRPr="00E16BCF">
              <w:rPr>
                <w:rFonts w:ascii="Arial" w:hAnsi="Arial" w:cs="Arial"/>
                <w:sz w:val="22"/>
                <w:szCs w:val="22"/>
              </w:rPr>
              <w:tab/>
            </w:r>
          </w:p>
          <w:p w14:paraId="0E0BDC5F" w14:textId="77777777" w:rsidR="00E16BCF" w:rsidRPr="00E16BCF" w:rsidRDefault="00E16BCF" w:rsidP="00DC000B">
            <w:pPr>
              <w:pStyle w:val="ListParagraph"/>
              <w:numPr>
                <w:ilvl w:val="0"/>
                <w:numId w:val="30"/>
              </w:numPr>
              <w:tabs>
                <w:tab w:val="left" w:pos="729"/>
                <w:tab w:val="left" w:pos="4084"/>
              </w:tabs>
              <w:contextualSpacing/>
              <w:rPr>
                <w:rFonts w:ascii="Arial" w:hAnsi="Arial" w:cs="Arial"/>
                <w:sz w:val="22"/>
                <w:szCs w:val="22"/>
              </w:rPr>
            </w:pPr>
            <w:r w:rsidRPr="00E16BCF">
              <w:rPr>
                <w:rFonts w:ascii="Arial" w:hAnsi="Arial" w:cs="Arial"/>
                <w:sz w:val="22"/>
                <w:szCs w:val="22"/>
              </w:rPr>
              <w:t>Complete integrated cross-theme research started in 2026</w:t>
            </w:r>
          </w:p>
          <w:p w14:paraId="7811EF77" w14:textId="77777777" w:rsidR="00E16BCF" w:rsidRPr="00E16BCF" w:rsidRDefault="00E16BCF" w:rsidP="00585E9E">
            <w:pPr>
              <w:tabs>
                <w:tab w:val="left" w:pos="1276"/>
                <w:tab w:val="left" w:pos="7088"/>
                <w:tab w:val="right" w:pos="9370"/>
              </w:tabs>
              <w:spacing w:before="120"/>
              <w:rPr>
                <w:rFonts w:ascii="Arial" w:hAnsi="Arial" w:cs="Arial"/>
                <w:color w:val="808080"/>
              </w:rPr>
            </w:pPr>
          </w:p>
        </w:tc>
      </w:tr>
    </w:tbl>
    <w:p w14:paraId="3ABE3100" w14:textId="77D775DC" w:rsidR="00C340E5" w:rsidRDefault="00C340E5" w:rsidP="006E7ADC">
      <w:pPr>
        <w:rPr>
          <w:sz w:val="22"/>
          <w:szCs w:val="22"/>
        </w:rPr>
      </w:pPr>
    </w:p>
    <w:p w14:paraId="1FD179E0" w14:textId="423D5114" w:rsidR="008D58D7" w:rsidRDefault="008D58D7" w:rsidP="006E7ADC">
      <w:pPr>
        <w:rPr>
          <w:sz w:val="22"/>
          <w:szCs w:val="22"/>
        </w:rPr>
      </w:pPr>
    </w:p>
    <w:p w14:paraId="455C49C7" w14:textId="00872526" w:rsidR="008D58D7" w:rsidRDefault="008D58D7" w:rsidP="006E7ADC">
      <w:pPr>
        <w:rPr>
          <w:sz w:val="22"/>
          <w:szCs w:val="22"/>
        </w:rPr>
      </w:pPr>
    </w:p>
    <w:p w14:paraId="5BA8CBB7" w14:textId="77777777" w:rsidR="008D58D7" w:rsidRPr="008D58D7" w:rsidRDefault="008D58D7" w:rsidP="006E7ADC">
      <w:pPr>
        <w:rPr>
          <w:sz w:val="28"/>
          <w:szCs w:val="28"/>
        </w:rPr>
      </w:pPr>
    </w:p>
    <w:p w14:paraId="50B5DBC3" w14:textId="77777777" w:rsidR="00DC000B" w:rsidRDefault="00DC000B">
      <w:pPr>
        <w:rPr>
          <w:rFonts w:ascii="Arial" w:hAnsi="Arial" w:cs="Arial"/>
          <w:b/>
          <w:bCs/>
          <w:sz w:val="28"/>
          <w:szCs w:val="28"/>
        </w:rPr>
      </w:pPr>
      <w:bookmarkStart w:id="19" w:name="appendix2"/>
      <w:r>
        <w:rPr>
          <w:rFonts w:ascii="Arial" w:hAnsi="Arial" w:cs="Arial"/>
          <w:b/>
          <w:bCs/>
          <w:sz w:val="28"/>
          <w:szCs w:val="28"/>
        </w:rPr>
        <w:br w:type="page"/>
      </w:r>
    </w:p>
    <w:p w14:paraId="208B15F8" w14:textId="6A40BD95" w:rsidR="008D58D7" w:rsidRPr="008D58D7" w:rsidRDefault="008D58D7" w:rsidP="006E7ADC">
      <w:pPr>
        <w:rPr>
          <w:rFonts w:ascii="Arial" w:hAnsi="Arial" w:cs="Arial"/>
          <w:b/>
          <w:bCs/>
          <w:sz w:val="28"/>
          <w:szCs w:val="28"/>
        </w:rPr>
      </w:pPr>
      <w:r w:rsidRPr="008D58D7">
        <w:rPr>
          <w:rFonts w:ascii="Arial" w:hAnsi="Arial" w:cs="Arial"/>
          <w:b/>
          <w:bCs/>
          <w:sz w:val="28"/>
          <w:szCs w:val="28"/>
        </w:rPr>
        <w:lastRenderedPageBreak/>
        <w:t xml:space="preserve">Appendix 2 </w:t>
      </w:r>
      <w:bookmarkEnd w:id="19"/>
      <w:r w:rsidRPr="008D58D7">
        <w:rPr>
          <w:rFonts w:ascii="Arial" w:hAnsi="Arial" w:cs="Arial"/>
          <w:b/>
          <w:bCs/>
          <w:sz w:val="28"/>
          <w:szCs w:val="28"/>
        </w:rPr>
        <w:t xml:space="preserve">– NZ Research </w:t>
      </w:r>
      <w:r>
        <w:rPr>
          <w:rFonts w:ascii="Arial" w:hAnsi="Arial" w:cs="Arial"/>
          <w:b/>
          <w:bCs/>
          <w:sz w:val="28"/>
          <w:szCs w:val="28"/>
        </w:rPr>
        <w:t>Organisations</w:t>
      </w:r>
      <w:r w:rsidRPr="008D58D7">
        <w:rPr>
          <w:rFonts w:ascii="Arial" w:hAnsi="Arial" w:cs="Arial"/>
          <w:b/>
          <w:bCs/>
          <w:sz w:val="28"/>
          <w:szCs w:val="28"/>
        </w:rPr>
        <w:t xml:space="preserve"> that are signatories to the MWC Collaboration Agreement</w:t>
      </w:r>
    </w:p>
    <w:p w14:paraId="30337D08" w14:textId="4250675D" w:rsidR="008D58D7" w:rsidRPr="008D58D7" w:rsidRDefault="008D58D7" w:rsidP="006E7ADC">
      <w:pPr>
        <w:rPr>
          <w:rFonts w:ascii="Arial" w:hAnsi="Arial" w:cs="Arial"/>
          <w:sz w:val="22"/>
          <w:szCs w:val="22"/>
        </w:rPr>
      </w:pPr>
    </w:p>
    <w:p w14:paraId="31131021"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color w:val="808080"/>
          <w:sz w:val="22"/>
          <w:szCs w:val="22"/>
        </w:rPr>
        <w:t>T</w:t>
      </w:r>
      <w:r w:rsidRPr="008D58D7">
        <w:rPr>
          <w:rFonts w:ascii="Arial" w:hAnsi="Arial" w:cs="Arial"/>
          <w:sz w:val="22"/>
          <w:szCs w:val="22"/>
        </w:rPr>
        <w:t>he University of Auckland</w:t>
      </w:r>
    </w:p>
    <w:p w14:paraId="435E95D5"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The University of Otago</w:t>
      </w:r>
    </w:p>
    <w:p w14:paraId="1EA6F009"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The University of Canterbury</w:t>
      </w:r>
    </w:p>
    <w:p w14:paraId="05535314"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Victoria University of Wellington</w:t>
      </w:r>
    </w:p>
    <w:p w14:paraId="68A6D684"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Malaghan Institute of Medical Research</w:t>
      </w:r>
    </w:p>
    <w:p w14:paraId="63808541"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Massey University</w:t>
      </w:r>
    </w:p>
    <w:p w14:paraId="5484FFC1"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The University of Waikato</w:t>
      </w:r>
    </w:p>
    <w:p w14:paraId="0D547398"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The New Zealand Institute of Plant and Food Research Limited</w:t>
      </w:r>
    </w:p>
    <w:p w14:paraId="7BE357F2"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Institute of Environmental Science and Research Limited</w:t>
      </w:r>
    </w:p>
    <w:p w14:paraId="5BB1D4ED" w14:textId="77777777" w:rsidR="008D58D7" w:rsidRPr="008D58D7" w:rsidRDefault="008D58D7" w:rsidP="00DC000B">
      <w:pPr>
        <w:pStyle w:val="ListParagraph"/>
        <w:numPr>
          <w:ilvl w:val="0"/>
          <w:numId w:val="6"/>
        </w:numPr>
        <w:tabs>
          <w:tab w:val="left" w:pos="1276"/>
          <w:tab w:val="left" w:pos="7088"/>
          <w:tab w:val="right" w:pos="9370"/>
        </w:tabs>
        <w:contextualSpacing/>
        <w:rPr>
          <w:rFonts w:ascii="Arial" w:hAnsi="Arial" w:cs="Arial"/>
          <w:sz w:val="22"/>
          <w:szCs w:val="22"/>
        </w:rPr>
      </w:pPr>
      <w:r w:rsidRPr="008D58D7">
        <w:rPr>
          <w:rFonts w:ascii="Arial" w:hAnsi="Arial" w:cs="Arial"/>
          <w:sz w:val="22"/>
          <w:szCs w:val="22"/>
        </w:rPr>
        <w:t>AgResearch Limited</w:t>
      </w:r>
    </w:p>
    <w:p w14:paraId="5042653C" w14:textId="77777777" w:rsidR="008D58D7" w:rsidRPr="008D58D7" w:rsidRDefault="008D58D7" w:rsidP="00DC000B">
      <w:pPr>
        <w:numPr>
          <w:ilvl w:val="0"/>
          <w:numId w:val="6"/>
        </w:numPr>
        <w:textAlignment w:val="baseline"/>
        <w:rPr>
          <w:rFonts w:ascii="Arial" w:eastAsia="Times New Roman" w:hAnsi="Arial" w:cs="Arial"/>
          <w:color w:val="000000"/>
          <w:sz w:val="22"/>
          <w:szCs w:val="22"/>
          <w:lang w:eastAsia="en-NZ"/>
        </w:rPr>
      </w:pPr>
      <w:r w:rsidRPr="008D58D7">
        <w:rPr>
          <w:rFonts w:ascii="Arial" w:eastAsia="Times New Roman" w:hAnsi="Arial" w:cs="Arial"/>
          <w:color w:val="000000"/>
          <w:sz w:val="22"/>
          <w:szCs w:val="22"/>
          <w:lang w:eastAsia="en-NZ"/>
        </w:rPr>
        <w:t>Auckland University of Technology</w:t>
      </w:r>
    </w:p>
    <w:p w14:paraId="1E32802C" w14:textId="77777777" w:rsidR="008D58D7" w:rsidRDefault="008D58D7" w:rsidP="00DC000B">
      <w:pPr>
        <w:numPr>
          <w:ilvl w:val="0"/>
          <w:numId w:val="6"/>
        </w:numPr>
        <w:textAlignment w:val="baseline"/>
        <w:rPr>
          <w:rFonts w:ascii="Arial" w:eastAsia="Times New Roman" w:hAnsi="Arial" w:cs="Arial"/>
          <w:color w:val="000000"/>
          <w:sz w:val="22"/>
          <w:szCs w:val="22"/>
          <w:lang w:eastAsia="en-NZ"/>
        </w:rPr>
      </w:pPr>
      <w:r w:rsidRPr="008D58D7">
        <w:rPr>
          <w:rFonts w:ascii="Arial" w:eastAsia="Times New Roman" w:hAnsi="Arial" w:cs="Arial"/>
          <w:color w:val="000000"/>
          <w:sz w:val="22"/>
          <w:szCs w:val="22"/>
          <w:lang w:eastAsia="en-NZ"/>
        </w:rPr>
        <w:t>The Moko Foundation</w:t>
      </w:r>
    </w:p>
    <w:p w14:paraId="197143A6" w14:textId="5628C0E7" w:rsidR="005D0102" w:rsidRDefault="005D0102" w:rsidP="00DC000B">
      <w:pPr>
        <w:numPr>
          <w:ilvl w:val="0"/>
          <w:numId w:val="6"/>
        </w:numPr>
        <w:textAlignment w:val="baseline"/>
        <w:rPr>
          <w:rFonts w:ascii="Arial" w:eastAsia="Times New Roman" w:hAnsi="Arial" w:cs="Arial"/>
          <w:color w:val="000000"/>
          <w:sz w:val="22"/>
          <w:szCs w:val="22"/>
          <w:lang w:eastAsia="en-NZ"/>
        </w:rPr>
      </w:pPr>
      <w:r>
        <w:rPr>
          <w:rFonts w:ascii="Arial" w:eastAsia="Times New Roman" w:hAnsi="Arial" w:cs="Arial"/>
          <w:color w:val="000000"/>
          <w:sz w:val="22"/>
          <w:szCs w:val="22"/>
          <w:lang w:eastAsia="en-NZ"/>
        </w:rPr>
        <w:t>Ngāti Porou Oranga</w:t>
      </w:r>
    </w:p>
    <w:p w14:paraId="0637D7F7" w14:textId="7C62D3A1" w:rsidR="005D0102" w:rsidRPr="008D58D7" w:rsidRDefault="005D0102" w:rsidP="00DC000B">
      <w:pPr>
        <w:numPr>
          <w:ilvl w:val="0"/>
          <w:numId w:val="6"/>
        </w:numPr>
        <w:textAlignment w:val="baseline"/>
        <w:rPr>
          <w:rFonts w:ascii="Arial" w:eastAsia="Times New Roman" w:hAnsi="Arial" w:cs="Arial"/>
          <w:color w:val="000000"/>
          <w:sz w:val="22"/>
          <w:szCs w:val="22"/>
          <w:lang w:eastAsia="en-NZ"/>
        </w:rPr>
      </w:pPr>
      <w:r>
        <w:rPr>
          <w:rFonts w:ascii="Arial" w:eastAsia="Times New Roman" w:hAnsi="Arial" w:cs="Arial"/>
          <w:color w:val="000000"/>
          <w:sz w:val="22"/>
          <w:szCs w:val="22"/>
          <w:lang w:eastAsia="en-NZ"/>
        </w:rPr>
        <w:t>Cawthron Institute</w:t>
      </w:r>
    </w:p>
    <w:p w14:paraId="219A21E5" w14:textId="7A71DF52" w:rsidR="008D58D7" w:rsidRDefault="008D58D7" w:rsidP="006E7ADC">
      <w:pPr>
        <w:rPr>
          <w:rFonts w:ascii="Arial" w:hAnsi="Arial" w:cs="Arial"/>
          <w:sz w:val="22"/>
          <w:szCs w:val="22"/>
        </w:rPr>
      </w:pPr>
    </w:p>
    <w:p w14:paraId="7D91426C" w14:textId="48AE3054" w:rsidR="009A0B89" w:rsidRDefault="009A0B89" w:rsidP="006E7ADC">
      <w:pPr>
        <w:rPr>
          <w:rFonts w:ascii="Arial" w:hAnsi="Arial" w:cs="Arial"/>
          <w:sz w:val="22"/>
          <w:szCs w:val="22"/>
        </w:rPr>
      </w:pPr>
    </w:p>
    <w:p w14:paraId="5D80F389" w14:textId="370BB3A0" w:rsidR="009A0B89" w:rsidRPr="0016019A" w:rsidRDefault="009A0B89" w:rsidP="006E7ADC">
      <w:pPr>
        <w:rPr>
          <w:rFonts w:ascii="Arial" w:hAnsi="Arial" w:cs="Arial"/>
          <w:b/>
          <w:bCs/>
          <w:sz w:val="28"/>
          <w:szCs w:val="28"/>
        </w:rPr>
      </w:pPr>
    </w:p>
    <w:p w14:paraId="6E7BB150" w14:textId="0D549D9B" w:rsidR="009A0B89" w:rsidRDefault="009A0B89">
      <w:pPr>
        <w:rPr>
          <w:rFonts w:ascii="Arial" w:hAnsi="Arial" w:cs="Arial"/>
          <w:b/>
          <w:bCs/>
          <w:sz w:val="28"/>
          <w:szCs w:val="28"/>
        </w:rPr>
      </w:pPr>
      <w:bookmarkStart w:id="20" w:name="appendix3"/>
    </w:p>
    <w:p w14:paraId="5D797D4E" w14:textId="77777777" w:rsidR="00C5498E" w:rsidRDefault="00C5498E" w:rsidP="0016019A">
      <w:pPr>
        <w:rPr>
          <w:rFonts w:ascii="Arial" w:hAnsi="Arial" w:cs="Arial"/>
          <w:b/>
          <w:bCs/>
          <w:sz w:val="28"/>
          <w:szCs w:val="28"/>
        </w:rPr>
        <w:sectPr w:rsidR="00C5498E" w:rsidSect="007A7B54">
          <w:headerReference w:type="default" r:id="rId19"/>
          <w:footerReference w:type="default" r:id="rId20"/>
          <w:pgSz w:w="11907" w:h="16839" w:code="9"/>
          <w:pgMar w:top="1440" w:right="1440" w:bottom="1440" w:left="1440" w:header="708" w:footer="708" w:gutter="0"/>
          <w:cols w:space="708"/>
          <w:docGrid w:linePitch="326"/>
        </w:sectPr>
      </w:pPr>
      <w:bookmarkStart w:id="21" w:name="_Hlk102554453"/>
    </w:p>
    <w:bookmarkEnd w:id="20"/>
    <w:bookmarkEnd w:id="21"/>
    <w:p w14:paraId="0BCE46CB" w14:textId="77777777" w:rsidR="00C5498E" w:rsidRPr="00E86AA3" w:rsidRDefault="00C5498E" w:rsidP="00C5498E">
      <w:pPr>
        <w:rPr>
          <w:rFonts w:ascii="Arial" w:hAnsi="Arial" w:cs="Arial"/>
          <w:b/>
          <w:bCs/>
          <w:sz w:val="28"/>
          <w:szCs w:val="28"/>
        </w:rPr>
      </w:pPr>
      <w:r w:rsidRPr="0016019A">
        <w:rPr>
          <w:rFonts w:ascii="Arial" w:hAnsi="Arial" w:cs="Arial"/>
          <w:b/>
          <w:bCs/>
          <w:sz w:val="28"/>
          <w:szCs w:val="28"/>
        </w:rPr>
        <w:lastRenderedPageBreak/>
        <w:t xml:space="preserve">Appendix 3 </w:t>
      </w:r>
      <w:r>
        <w:rPr>
          <w:rFonts w:ascii="Arial" w:hAnsi="Arial" w:cs="Arial"/>
          <w:b/>
          <w:bCs/>
          <w:sz w:val="28"/>
          <w:szCs w:val="28"/>
        </w:rPr>
        <w:t>–</w:t>
      </w:r>
      <w:r w:rsidRPr="0016019A">
        <w:rPr>
          <w:rFonts w:ascii="Arial" w:hAnsi="Arial" w:cs="Arial"/>
          <w:b/>
          <w:bCs/>
          <w:sz w:val="28"/>
          <w:szCs w:val="28"/>
        </w:rPr>
        <w:t xml:space="preserve"> </w:t>
      </w:r>
      <w:r w:rsidRPr="00E86AA3">
        <w:rPr>
          <w:rFonts w:ascii="Century Gothic" w:eastAsia="MS Gothic" w:hAnsi="Century Gothic"/>
          <w:b/>
          <w:bCs/>
          <w:sz w:val="26"/>
          <w:szCs w:val="26"/>
          <w:lang w:val="en-NZ"/>
        </w:rPr>
        <w:t>Application of Tiriti Principles in the Maurice Wilkins Centre</w:t>
      </w:r>
      <w:r>
        <w:rPr>
          <w:rFonts w:ascii="Century Gothic" w:eastAsia="MS Gothic" w:hAnsi="Century Gothic"/>
          <w:b/>
          <w:bCs/>
          <w:sz w:val="26"/>
          <w:szCs w:val="26"/>
          <w:lang w:val="en-NZ"/>
        </w:rPr>
        <w:t xml:space="preserve"> (excerpt from </w:t>
      </w:r>
      <w:r w:rsidRPr="00175A37">
        <w:rPr>
          <w:rFonts w:ascii="Century Gothic" w:eastAsia="MS Gothic" w:hAnsi="Century Gothic"/>
          <w:b/>
          <w:bCs/>
          <w:sz w:val="26"/>
          <w:szCs w:val="26"/>
        </w:rPr>
        <w:t>MWC’s Māori Engagement Strategy</w:t>
      </w:r>
      <w:r>
        <w:rPr>
          <w:rFonts w:ascii="Century Gothic" w:eastAsia="MS Gothic" w:hAnsi="Century Gothic"/>
          <w:b/>
          <w:bCs/>
          <w:sz w:val="26"/>
          <w:szCs w:val="26"/>
        </w:rPr>
        <w:t>)</w:t>
      </w:r>
    </w:p>
    <w:p w14:paraId="037E91A6" w14:textId="77777777" w:rsidR="00C5498E" w:rsidRPr="00B6047A" w:rsidRDefault="00C5498E" w:rsidP="00C5498E">
      <w:pPr>
        <w:spacing w:after="200" w:line="280" w:lineRule="exact"/>
        <w:rPr>
          <w:rFonts w:ascii="Century Gothic" w:eastAsia="Century Gothic" w:hAnsi="Century Gothic" w:cs="Century Gothic"/>
          <w:sz w:val="20"/>
          <w:lang w:val="en-HK"/>
        </w:rPr>
      </w:pPr>
    </w:p>
    <w:p w14:paraId="29A644BE" w14:textId="77777777" w:rsidR="00C5498E" w:rsidRPr="00B6047A" w:rsidRDefault="00C5498E" w:rsidP="00C5498E">
      <w:pPr>
        <w:spacing w:after="200" w:line="280" w:lineRule="exact"/>
        <w:rPr>
          <w:rFonts w:ascii="Century Gothic" w:eastAsia="Century Gothic" w:hAnsi="Century Gothic" w:cs="Century Gothic"/>
          <w:sz w:val="20"/>
          <w:lang w:val="en-HK"/>
        </w:rPr>
      </w:pPr>
      <w:r w:rsidRPr="00B6047A">
        <w:rPr>
          <w:rFonts w:ascii="Century Gothic" w:eastAsia="Century Gothic" w:hAnsi="Century Gothic" w:cs="Century Gothic"/>
          <w:sz w:val="20"/>
          <w:lang w:val="en-HK"/>
        </w:rPr>
        <w:t>As a Crown-funded CORE, the Maurice Wilkins Centre (MWC) is committed to uphold te Tiriti o Waitangi (Tiriti).</w:t>
      </w:r>
      <w:r>
        <w:rPr>
          <w:rFonts w:ascii="Century Gothic" w:eastAsia="Century Gothic" w:hAnsi="Century Gothic" w:cs="Century Gothic"/>
          <w:sz w:val="20"/>
          <w:lang w:val="en-HK"/>
        </w:rPr>
        <w:t xml:space="preserve"> </w:t>
      </w:r>
      <w:r w:rsidRPr="00B6047A">
        <w:rPr>
          <w:rFonts w:ascii="Century Gothic" w:eastAsia="Century Gothic" w:hAnsi="Century Gothic" w:cs="Century Gothic"/>
          <w:sz w:val="20"/>
          <w:lang w:val="en-HK"/>
        </w:rPr>
        <w:t xml:space="preserve"> This document is developed to assist with fulfilling its commitment. </w:t>
      </w:r>
    </w:p>
    <w:p w14:paraId="6AA8077D" w14:textId="77777777" w:rsidR="00C5498E" w:rsidRPr="00B6047A" w:rsidRDefault="00C5498E" w:rsidP="00C5498E">
      <w:pPr>
        <w:spacing w:after="200" w:line="280" w:lineRule="exact"/>
        <w:rPr>
          <w:rFonts w:ascii="Century Gothic" w:eastAsia="Century Gothic" w:hAnsi="Century Gothic" w:cs="Century Gothic"/>
          <w:sz w:val="20"/>
          <w:lang w:val="en-HK"/>
        </w:rPr>
      </w:pPr>
      <w:r w:rsidRPr="00B6047A">
        <w:rPr>
          <w:rFonts w:ascii="Century Gothic" w:eastAsia="Century Gothic" w:hAnsi="Century Gothic" w:cs="Century Gothic"/>
          <w:sz w:val="20"/>
          <w:lang w:val="en-HK"/>
        </w:rPr>
        <w:t>There are three tables in this document.</w:t>
      </w:r>
      <w:r>
        <w:rPr>
          <w:rFonts w:ascii="Century Gothic" w:eastAsia="Century Gothic" w:hAnsi="Century Gothic" w:cs="Century Gothic"/>
          <w:sz w:val="20"/>
          <w:lang w:val="en-HK"/>
        </w:rPr>
        <w:t xml:space="preserve"> </w:t>
      </w:r>
      <w:r w:rsidRPr="00B6047A">
        <w:rPr>
          <w:rFonts w:ascii="Century Gothic" w:eastAsia="Century Gothic" w:hAnsi="Century Gothic" w:cs="Century Gothic"/>
          <w:sz w:val="20"/>
          <w:lang w:val="en-HK"/>
        </w:rPr>
        <w:t xml:space="preserve"> The first of these has been </w:t>
      </w:r>
      <w:r w:rsidRPr="00B6047A">
        <w:rPr>
          <w:rFonts w:ascii="Century Gothic" w:eastAsia="Century Gothic" w:hAnsi="Century Gothic" w:cs="Century Gothic"/>
          <w:sz w:val="20"/>
          <w:lang w:val="en-NZ"/>
        </w:rPr>
        <w:t>been drawn from the government’s Vision Mātauranga statement.</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In this table, research</w:t>
      </w:r>
      <w:r w:rsidRPr="00B6047A">
        <w:rPr>
          <w:rFonts w:ascii="Century Gothic" w:eastAsia="Century Gothic" w:hAnsi="Century Gothic" w:cs="Century Gothic"/>
          <w:sz w:val="20"/>
          <w:lang w:val="en-HK"/>
        </w:rPr>
        <w:t xml:space="preserve"> is divided into </w:t>
      </w:r>
      <w:r w:rsidRPr="00B6047A">
        <w:rPr>
          <w:rFonts w:ascii="Century Gothic" w:eastAsia="Century Gothic" w:hAnsi="Century Gothic" w:cs="Century Gothic"/>
          <w:sz w:val="20"/>
          <w:lang w:val="en-NZ"/>
        </w:rPr>
        <w:t>three categories that were adapted from those on the National Science Challenge, Biological Heritage website hosted by Manaaki Whenua Landcare Research.</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Please note that there may be overlap between categories A, B, and C in terms of the nature and degree of relevance to Māori.</w:t>
      </w:r>
    </w:p>
    <w:p w14:paraId="4B3430E2" w14:textId="77777777" w:rsidR="00C5498E" w:rsidRPr="00B6047A" w:rsidRDefault="00C5498E" w:rsidP="00C5498E">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sz w:val="20"/>
          <w:lang w:val="en-HK"/>
        </w:rPr>
        <w:t xml:space="preserve">The second table </w:t>
      </w:r>
      <w:r w:rsidRPr="00B6047A">
        <w:rPr>
          <w:rFonts w:ascii="Century Gothic" w:eastAsia="Century Gothic" w:hAnsi="Century Gothic" w:cs="Century Gothic"/>
          <w:sz w:val="20"/>
          <w:lang w:val="en-NZ"/>
        </w:rPr>
        <w:t xml:space="preserve">sets out four mana used in the health system to express te Tiriti and suggests how mana whakahaere, mana motuhake, mana tangata and mana Māori can be expressed in relation to the three categories of research. </w:t>
      </w:r>
    </w:p>
    <w:p w14:paraId="2C442C37" w14:textId="77777777" w:rsidR="00C5498E" w:rsidRPr="00B6047A" w:rsidRDefault="00C5498E" w:rsidP="00C5498E">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third table expresses five Tiriti principles in relation to the provision of health research services and also suggests how these can be interpreted in relation to the each of the five research categories.</w:t>
      </w:r>
    </w:p>
    <w:p w14:paraId="4E60F2DA" w14:textId="77777777" w:rsidR="00C5498E" w:rsidRPr="00B6047A" w:rsidRDefault="00C5498E" w:rsidP="00C5498E">
      <w:pPr>
        <w:spacing w:after="12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The application of Tiriti principles will be used to influence strategy, structures, procedures, personnel and operations in the work of the MWC, as they were in the latest research funding round where researchers were required to identify how their research will engage with Māori. </w:t>
      </w:r>
    </w:p>
    <w:p w14:paraId="785169DC" w14:textId="77777777" w:rsidR="00C5498E" w:rsidRPr="00B6047A" w:rsidRDefault="00C5498E" w:rsidP="00C5498E">
      <w:pPr>
        <w:spacing w:after="120" w:line="280" w:lineRule="exact"/>
        <w:rPr>
          <w:rFonts w:ascii="Century Gothic" w:eastAsia="Century Gothic" w:hAnsi="Century Gothic" w:cs="Century Gothic"/>
          <w:sz w:val="20"/>
          <w:lang w:val="en-NZ"/>
        </w:rPr>
      </w:pPr>
      <w:r w:rsidRPr="00B6047A">
        <w:rPr>
          <w:rFonts w:ascii="Century Gothic" w:eastAsia="SimSun" w:hAnsi="Century Gothic"/>
          <w:sz w:val="20"/>
          <w:lang w:val="en-NZ"/>
        </w:rPr>
        <w:t>It is understood that the MWC research programme comprises a wide range of projects ranging from very small in size to larger projects and comprises a wide range of scientific techniques and approaches, so it is difficult to apply every aspect of the principles below to every individual project but the goal for the centre is to achieve this balance at the overall level of its research programme.</w:t>
      </w:r>
    </w:p>
    <w:p w14:paraId="665726DD" w14:textId="77777777" w:rsidR="00C5498E" w:rsidRPr="00B6047A" w:rsidRDefault="00C5498E" w:rsidP="00C5498E">
      <w:pPr>
        <w:spacing w:after="120" w:line="280" w:lineRule="exact"/>
        <w:rPr>
          <w:rFonts w:ascii="Century Gothic" w:eastAsia="Century Gothic" w:hAnsi="Century Gothic" w:cs="Century Gothic"/>
          <w:sz w:val="20"/>
          <w:lang w:val="en-NZ"/>
        </w:rPr>
      </w:pPr>
    </w:p>
    <w:p w14:paraId="387AD58F" w14:textId="77777777" w:rsidR="00C5498E" w:rsidRDefault="00C5498E" w:rsidP="00C5498E">
      <w:pPr>
        <w:spacing w:after="120" w:line="280" w:lineRule="exact"/>
        <w:rPr>
          <w:rFonts w:ascii="Century Gothic" w:eastAsia="Century Gothic" w:hAnsi="Century Gothic" w:cs="Century Gothic"/>
          <w:sz w:val="20"/>
          <w:lang w:val="en-NZ"/>
        </w:rPr>
      </w:pPr>
    </w:p>
    <w:p w14:paraId="5B5FB0A8" w14:textId="77777777" w:rsidR="00C5498E" w:rsidRDefault="00C5498E" w:rsidP="00C5498E">
      <w:pPr>
        <w:spacing w:after="120" w:line="280" w:lineRule="exact"/>
        <w:rPr>
          <w:rFonts w:ascii="Century Gothic" w:eastAsia="Century Gothic" w:hAnsi="Century Gothic" w:cs="Century Gothic"/>
          <w:sz w:val="20"/>
          <w:lang w:val="en-NZ"/>
        </w:rPr>
      </w:pPr>
    </w:p>
    <w:p w14:paraId="0108F17B" w14:textId="77777777" w:rsidR="00C5498E" w:rsidRDefault="00C5498E" w:rsidP="00C5498E">
      <w:pPr>
        <w:spacing w:after="120" w:line="280" w:lineRule="exact"/>
        <w:rPr>
          <w:rFonts w:ascii="Century Gothic" w:eastAsia="Century Gothic" w:hAnsi="Century Gothic" w:cs="Century Gothic"/>
          <w:sz w:val="20"/>
          <w:lang w:val="en-NZ"/>
        </w:rPr>
      </w:pPr>
    </w:p>
    <w:p w14:paraId="4F24A3FF" w14:textId="77777777" w:rsidR="00C5498E" w:rsidRDefault="00C5498E" w:rsidP="00C5498E">
      <w:pPr>
        <w:spacing w:after="120" w:line="280" w:lineRule="exact"/>
        <w:rPr>
          <w:rFonts w:ascii="Century Gothic" w:eastAsia="Century Gothic" w:hAnsi="Century Gothic" w:cs="Century Gothic"/>
          <w:sz w:val="20"/>
          <w:lang w:val="en-NZ"/>
        </w:rPr>
      </w:pPr>
    </w:p>
    <w:p w14:paraId="4BB43CD6" w14:textId="77777777" w:rsidR="00C5498E" w:rsidRDefault="00C5498E" w:rsidP="00C5498E">
      <w:pPr>
        <w:spacing w:after="120" w:line="280" w:lineRule="exact"/>
        <w:rPr>
          <w:rFonts w:ascii="Century Gothic" w:eastAsia="Century Gothic" w:hAnsi="Century Gothic" w:cs="Century Gothic"/>
          <w:sz w:val="20"/>
          <w:lang w:val="en-NZ"/>
        </w:rPr>
      </w:pPr>
    </w:p>
    <w:p w14:paraId="5C8EC2D2" w14:textId="77777777" w:rsidR="00C5498E" w:rsidRPr="00B6047A" w:rsidRDefault="00C5498E" w:rsidP="00C5498E">
      <w:pPr>
        <w:spacing w:after="120" w:line="280" w:lineRule="exact"/>
        <w:rPr>
          <w:rFonts w:ascii="Century Gothic" w:eastAsia="Century Gothic" w:hAnsi="Century Gothic" w:cs="Century Gothic"/>
          <w:sz w:val="20"/>
          <w:lang w:val="en-NZ"/>
        </w:rPr>
      </w:pPr>
    </w:p>
    <w:p w14:paraId="6BD4CD66" w14:textId="77777777" w:rsidR="00C5498E" w:rsidRPr="00B6047A" w:rsidRDefault="00C5498E" w:rsidP="00C5498E">
      <w:pPr>
        <w:spacing w:after="200" w:line="280" w:lineRule="exact"/>
        <w:ind w:left="35"/>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Table One: Research Categories Drawn from Vision Mātauranga:</w:t>
      </w:r>
    </w:p>
    <w:tbl>
      <w:tblPr>
        <w:tblStyle w:val="TableGrid1"/>
        <w:tblW w:w="0" w:type="auto"/>
        <w:tblLayout w:type="fixed"/>
        <w:tblLook w:val="06A0" w:firstRow="1" w:lastRow="0" w:firstColumn="1" w:lastColumn="0" w:noHBand="1" w:noVBand="1"/>
      </w:tblPr>
      <w:tblGrid>
        <w:gridCol w:w="2122"/>
        <w:gridCol w:w="11828"/>
      </w:tblGrid>
      <w:tr w:rsidR="00C5498E" w:rsidRPr="00B6047A" w14:paraId="34163390" w14:textId="77777777" w:rsidTr="00764CC3">
        <w:tc>
          <w:tcPr>
            <w:tcW w:w="2122" w:type="dxa"/>
            <w:shd w:val="clear" w:color="auto" w:fill="B6DEE9"/>
          </w:tcPr>
          <w:p w14:paraId="5DD8BD76" w14:textId="77777777" w:rsidR="00C5498E" w:rsidRPr="00B6047A" w:rsidRDefault="00C5498E" w:rsidP="00764CC3">
            <w:pPr>
              <w:spacing w:after="200" w:line="280" w:lineRule="exact"/>
              <w:rPr>
                <w:rFonts w:cs="Century Gothic"/>
                <w:b/>
                <w:bCs/>
                <w:color w:val="000000"/>
                <w:sz w:val="20"/>
                <w:lang w:val="en-NZ"/>
              </w:rPr>
            </w:pPr>
            <w:r w:rsidRPr="00B6047A">
              <w:rPr>
                <w:rFonts w:cs="Century Gothic"/>
                <w:b/>
                <w:bCs/>
                <w:color w:val="000000"/>
                <w:sz w:val="20"/>
                <w:lang w:val="en-NZ"/>
              </w:rPr>
              <w:t>Research Category</w:t>
            </w:r>
          </w:p>
        </w:tc>
        <w:tc>
          <w:tcPr>
            <w:tcW w:w="11828" w:type="dxa"/>
            <w:shd w:val="clear" w:color="auto" w:fill="B6DEE9"/>
          </w:tcPr>
          <w:p w14:paraId="5EE93800" w14:textId="77777777" w:rsidR="00C5498E" w:rsidRPr="00B6047A" w:rsidRDefault="00C5498E" w:rsidP="00764CC3">
            <w:pPr>
              <w:spacing w:after="200" w:line="280" w:lineRule="exact"/>
              <w:rPr>
                <w:rFonts w:cs="Century Gothic"/>
                <w:b/>
                <w:bCs/>
                <w:color w:val="000000"/>
                <w:sz w:val="20"/>
                <w:lang w:val="en-NZ"/>
              </w:rPr>
            </w:pPr>
            <w:r w:rsidRPr="00B6047A">
              <w:rPr>
                <w:rFonts w:cs="Century Gothic"/>
                <w:b/>
                <w:bCs/>
                <w:color w:val="000000"/>
                <w:sz w:val="20"/>
                <w:lang w:val="en-NZ"/>
              </w:rPr>
              <w:t>This category includes research where:</w:t>
            </w:r>
          </w:p>
        </w:tc>
      </w:tr>
      <w:tr w:rsidR="00C5498E" w:rsidRPr="00B6047A" w14:paraId="120F0626" w14:textId="77777777" w:rsidTr="00764CC3">
        <w:trPr>
          <w:trHeight w:val="998"/>
        </w:trPr>
        <w:tc>
          <w:tcPr>
            <w:tcW w:w="2122" w:type="dxa"/>
          </w:tcPr>
          <w:p w14:paraId="52C4F3CD" w14:textId="77777777" w:rsidR="00C5498E" w:rsidRPr="00B6047A" w:rsidRDefault="00C5498E" w:rsidP="00DC000B">
            <w:pPr>
              <w:numPr>
                <w:ilvl w:val="0"/>
                <w:numId w:val="12"/>
              </w:numPr>
              <w:spacing w:after="120" w:line="280" w:lineRule="exact"/>
              <w:rPr>
                <w:rFonts w:cs="Century Gothic"/>
                <w:b/>
                <w:bCs/>
                <w:color w:val="000000"/>
                <w:sz w:val="20"/>
                <w:lang w:val="en-NZ"/>
              </w:rPr>
            </w:pPr>
            <w:r w:rsidRPr="00B6047A">
              <w:rPr>
                <w:rFonts w:cs="Century Gothic"/>
                <w:b/>
                <w:bCs/>
                <w:color w:val="000000"/>
                <w:sz w:val="20"/>
                <w:lang w:val="en-NZ"/>
              </w:rPr>
              <w:t>Research of relevance to all peoples</w:t>
            </w:r>
          </w:p>
        </w:tc>
        <w:tc>
          <w:tcPr>
            <w:tcW w:w="11828" w:type="dxa"/>
          </w:tcPr>
          <w:p w14:paraId="68C9ED2A" w14:textId="77777777" w:rsidR="00C5498E" w:rsidRPr="00B6047A" w:rsidRDefault="00C5498E" w:rsidP="00DC000B">
            <w:pPr>
              <w:numPr>
                <w:ilvl w:val="0"/>
                <w:numId w:val="11"/>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No mātauranga Māori (Māori knowledge, see Appendix 2) is used. </w:t>
            </w:r>
          </w:p>
          <w:p w14:paraId="259C6177" w14:textId="77777777" w:rsidR="00C5498E" w:rsidRPr="00B6047A" w:rsidRDefault="00C5498E" w:rsidP="00DC000B">
            <w:pPr>
              <w:numPr>
                <w:ilvl w:val="0"/>
                <w:numId w:val="11"/>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Māori are not associated with the research process (e.g. not on any research management / advisory / governance panels, it is not inclusive of Māori land or institutions, nor the subject of any component of the research). </w:t>
            </w:r>
          </w:p>
          <w:p w14:paraId="7B53D9B5" w14:textId="77777777" w:rsidR="00C5498E" w:rsidRPr="00B6047A" w:rsidRDefault="00C5498E" w:rsidP="00DC000B">
            <w:pPr>
              <w:numPr>
                <w:ilvl w:val="0"/>
                <w:numId w:val="11"/>
              </w:numPr>
              <w:spacing w:beforeAutospacing="1" w:after="120" w:afterAutospacing="1" w:line="280" w:lineRule="exact"/>
              <w:rPr>
                <w:rFonts w:cs="Century Gothic"/>
                <w:color w:val="000000"/>
                <w:sz w:val="20"/>
                <w:lang w:val="en-NZ"/>
              </w:rPr>
            </w:pPr>
            <w:r w:rsidRPr="00B6047A">
              <w:rPr>
                <w:rFonts w:cs="Century Gothic"/>
                <w:color w:val="000000"/>
                <w:sz w:val="20"/>
                <w:lang w:val="en-NZ"/>
              </w:rPr>
              <w:t>Includes research towards health outcomes in which Māori may be overrepresented but the solution will benefit all people suffering from the disease.</w:t>
            </w:r>
          </w:p>
          <w:p w14:paraId="5AD3FFE5" w14:textId="77777777" w:rsidR="00C5498E" w:rsidRPr="00B6047A" w:rsidRDefault="00C5498E" w:rsidP="00DC000B">
            <w:pPr>
              <w:numPr>
                <w:ilvl w:val="0"/>
                <w:numId w:val="11"/>
              </w:numPr>
              <w:spacing w:beforeAutospacing="1" w:after="120" w:afterAutospacing="1" w:line="280" w:lineRule="exact"/>
              <w:rPr>
                <w:rFonts w:cs="Century Gothic"/>
                <w:color w:val="000000"/>
                <w:sz w:val="20"/>
                <w:lang w:val="en-NZ"/>
              </w:rPr>
            </w:pPr>
            <w:r w:rsidRPr="00B6047A">
              <w:rPr>
                <w:rFonts w:cs="Century Gothic"/>
                <w:color w:val="000000"/>
                <w:sz w:val="20"/>
                <w:lang w:val="en-NZ"/>
              </w:rPr>
              <w:t>It could include work that contributes to Māori aspirations and outcomes, but not only relevant to Māori.</w:t>
            </w:r>
          </w:p>
          <w:p w14:paraId="120CD9DF" w14:textId="77777777" w:rsidR="00C5498E" w:rsidRPr="00B6047A" w:rsidRDefault="00C5498E" w:rsidP="00DC000B">
            <w:pPr>
              <w:numPr>
                <w:ilvl w:val="0"/>
                <w:numId w:val="11"/>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Examples of work in this category could be new chemistry methodologies or development of new techniques in molecular or cell biology that are applicable to wide areas of science. </w:t>
            </w:r>
          </w:p>
        </w:tc>
      </w:tr>
      <w:tr w:rsidR="00C5498E" w:rsidRPr="00B6047A" w14:paraId="6954B910" w14:textId="77777777" w:rsidTr="00764CC3">
        <w:tc>
          <w:tcPr>
            <w:tcW w:w="2122" w:type="dxa"/>
          </w:tcPr>
          <w:p w14:paraId="656B93E1" w14:textId="77777777" w:rsidR="00C5498E" w:rsidRPr="00B6047A" w:rsidRDefault="00C5498E" w:rsidP="00764CC3">
            <w:pPr>
              <w:spacing w:after="200" w:line="280" w:lineRule="exact"/>
              <w:rPr>
                <w:rFonts w:cs="Century Gothic"/>
                <w:b/>
                <w:bCs/>
                <w:sz w:val="20"/>
                <w:lang w:val="en-NZ"/>
              </w:rPr>
            </w:pPr>
            <w:r w:rsidRPr="00B6047A">
              <w:rPr>
                <w:rFonts w:cs="Century Gothic"/>
                <w:b/>
                <w:bCs/>
                <w:sz w:val="20"/>
                <w:lang w:val="en-NZ"/>
              </w:rPr>
              <w:t>B Research specifically relevant to Māori and research involving Māori</w:t>
            </w:r>
          </w:p>
        </w:tc>
        <w:tc>
          <w:tcPr>
            <w:tcW w:w="11828" w:type="dxa"/>
          </w:tcPr>
          <w:p w14:paraId="6B1501CB" w14:textId="77777777" w:rsidR="00C5498E" w:rsidRPr="00B6047A" w:rsidRDefault="00C5498E" w:rsidP="00DC000B">
            <w:pPr>
              <w:numPr>
                <w:ilvl w:val="0"/>
                <w:numId w:val="10"/>
              </w:numPr>
              <w:spacing w:beforeAutospacing="1" w:after="120" w:afterAutospacing="1" w:line="280" w:lineRule="exact"/>
              <w:rPr>
                <w:rFonts w:cs="Century Gothic"/>
                <w:color w:val="000000"/>
                <w:sz w:val="20"/>
                <w:lang w:val="en-NZ"/>
              </w:rPr>
            </w:pPr>
            <w:r w:rsidRPr="00B6047A">
              <w:rPr>
                <w:rFonts w:cs="Century Gothic"/>
                <w:color w:val="000000"/>
                <w:sz w:val="20"/>
                <w:lang w:val="en-NZ"/>
              </w:rPr>
              <w:t>The research relates to conditions that are more prevalent in Māori populations, and/or conditions which Māori are more susceptible to than the general population (e.g. gout, stomach cancers and kidney failure).</w:t>
            </w:r>
          </w:p>
          <w:p w14:paraId="1FF2A788" w14:textId="77777777" w:rsidR="00C5498E" w:rsidRPr="00B6047A" w:rsidRDefault="00C5498E" w:rsidP="00DC000B">
            <w:pPr>
              <w:numPr>
                <w:ilvl w:val="0"/>
                <w:numId w:val="10"/>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Mātauranga Māori may be incorporated in the research but is not central to the research. </w:t>
            </w:r>
          </w:p>
          <w:p w14:paraId="3B11DDB4" w14:textId="77777777" w:rsidR="00C5498E" w:rsidRPr="00B6047A" w:rsidRDefault="00C5498E" w:rsidP="00DC000B">
            <w:pPr>
              <w:numPr>
                <w:ilvl w:val="0"/>
                <w:numId w:val="10"/>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Research is specifically and directly relevant to Māori and Māori are involved in the design and/or undertaking of the research. </w:t>
            </w:r>
          </w:p>
          <w:p w14:paraId="37731F4D" w14:textId="77777777" w:rsidR="00C5498E" w:rsidRPr="00B6047A" w:rsidRDefault="00C5498E" w:rsidP="00DC000B">
            <w:pPr>
              <w:numPr>
                <w:ilvl w:val="0"/>
                <w:numId w:val="10"/>
              </w:numPr>
              <w:spacing w:beforeAutospacing="1" w:after="120" w:afterAutospacing="1" w:line="280" w:lineRule="exact"/>
              <w:rPr>
                <w:rFonts w:cs="Century Gothic"/>
                <w:color w:val="000000"/>
                <w:sz w:val="20"/>
                <w:lang w:val="en-NZ"/>
              </w:rPr>
            </w:pPr>
            <w:r w:rsidRPr="00B6047A">
              <w:rPr>
                <w:rFonts w:cs="Century Gothic"/>
                <w:color w:val="000000"/>
                <w:sz w:val="20"/>
                <w:lang w:val="en-NZ"/>
              </w:rPr>
              <w:t>The work typically contributes to Māori (e.g. iwi / hapū /organisations) aspirations and outcomes.</w:t>
            </w:r>
          </w:p>
          <w:p w14:paraId="5684AFCD" w14:textId="77777777" w:rsidR="00C5498E" w:rsidRPr="00B6047A" w:rsidRDefault="00C5498E" w:rsidP="00DC000B">
            <w:pPr>
              <w:numPr>
                <w:ilvl w:val="0"/>
                <w:numId w:val="10"/>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This could also include diseases that are predominantly relevant to Māori. </w:t>
            </w:r>
          </w:p>
          <w:p w14:paraId="3B593BB7" w14:textId="77777777" w:rsidR="00C5498E" w:rsidRPr="00B6047A" w:rsidRDefault="00C5498E" w:rsidP="00DC000B">
            <w:pPr>
              <w:numPr>
                <w:ilvl w:val="0"/>
                <w:numId w:val="10"/>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Examples of this could include studies where Māori participants are involved in clinical studies or in precision medicine studies.  </w:t>
            </w:r>
          </w:p>
        </w:tc>
      </w:tr>
      <w:tr w:rsidR="00C5498E" w:rsidRPr="00B6047A" w14:paraId="65880500" w14:textId="77777777" w:rsidTr="00764CC3">
        <w:trPr>
          <w:trHeight w:val="1686"/>
        </w:trPr>
        <w:tc>
          <w:tcPr>
            <w:tcW w:w="2122" w:type="dxa"/>
          </w:tcPr>
          <w:p w14:paraId="724C95FE" w14:textId="77777777" w:rsidR="00C5498E" w:rsidRPr="00B6047A" w:rsidRDefault="00C5498E" w:rsidP="00764CC3">
            <w:pPr>
              <w:spacing w:after="200" w:line="280" w:lineRule="exact"/>
              <w:rPr>
                <w:rFonts w:cs="Century Gothic"/>
                <w:b/>
                <w:bCs/>
                <w:sz w:val="20"/>
                <w:lang w:val="en-NZ"/>
              </w:rPr>
            </w:pPr>
            <w:r w:rsidRPr="00B6047A">
              <w:rPr>
                <w:rFonts w:cs="Century Gothic"/>
                <w:b/>
                <w:bCs/>
                <w:sz w:val="20"/>
                <w:lang w:val="en-NZ"/>
              </w:rPr>
              <w:t>C Ma</w:t>
            </w:r>
            <w:r w:rsidRPr="00B6047A">
              <w:rPr>
                <w:rFonts w:ascii="Arial" w:hAnsi="Arial" w:cs="Arial"/>
                <w:b/>
                <w:bCs/>
                <w:sz w:val="20"/>
                <w:lang w:val="en-NZ"/>
              </w:rPr>
              <w:t>̄</w:t>
            </w:r>
            <w:r w:rsidRPr="00B6047A">
              <w:rPr>
                <w:rFonts w:cs="Century Gothic"/>
                <w:b/>
                <w:bCs/>
                <w:sz w:val="20"/>
                <w:lang w:val="en-NZ"/>
              </w:rPr>
              <w:t>ori-centred research and kaupapa Ma</w:t>
            </w:r>
            <w:r w:rsidRPr="00B6047A">
              <w:rPr>
                <w:rFonts w:ascii="Arial" w:hAnsi="Arial" w:cs="Arial"/>
                <w:b/>
                <w:bCs/>
                <w:sz w:val="20"/>
                <w:lang w:val="en-NZ"/>
              </w:rPr>
              <w:t>̄</w:t>
            </w:r>
            <w:r w:rsidRPr="00B6047A">
              <w:rPr>
                <w:rFonts w:cs="Century Gothic"/>
                <w:b/>
                <w:bCs/>
                <w:sz w:val="20"/>
                <w:lang w:val="en-NZ"/>
              </w:rPr>
              <w:t>ori research</w:t>
            </w:r>
          </w:p>
        </w:tc>
        <w:tc>
          <w:tcPr>
            <w:tcW w:w="11828" w:type="dxa"/>
          </w:tcPr>
          <w:p w14:paraId="7F2322C9" w14:textId="77777777" w:rsidR="00C5498E" w:rsidRPr="00B6047A" w:rsidRDefault="00C5498E" w:rsidP="00DC000B">
            <w:pPr>
              <w:numPr>
                <w:ilvl w:val="0"/>
                <w:numId w:val="9"/>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The research is Māori led, and where mātauranga Māori is either a central focus of the research or is used alongside other knowledges (e.g. through frameworks, models, methods, tools, etc.). </w:t>
            </w:r>
          </w:p>
          <w:p w14:paraId="01FA806B" w14:textId="77777777" w:rsidR="00C5498E" w:rsidRPr="00B6047A" w:rsidRDefault="00C5498E" w:rsidP="00DC000B">
            <w:pPr>
              <w:numPr>
                <w:ilvl w:val="0"/>
                <w:numId w:val="9"/>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Kaupapa Māori research may be a key focus of the research, in which case mātauranga Māori is incorporated and </w:t>
            </w:r>
            <w:r w:rsidRPr="00B6047A">
              <w:rPr>
                <w:rFonts w:cs="Century Gothic"/>
                <w:color w:val="000000"/>
                <w:sz w:val="20"/>
                <w:lang w:val="en-NZ"/>
              </w:rPr>
              <w:pgNum/>
            </w:r>
            <w:r w:rsidRPr="00B6047A">
              <w:rPr>
                <w:rFonts w:cs="Century Gothic"/>
                <w:color w:val="000000"/>
                <w:sz w:val="20"/>
                <w:lang w:val="en-NZ"/>
              </w:rPr>
              <w:t>ea o Māori and Māori philosophies and principles ground the work.</w:t>
            </w:r>
            <w:r>
              <w:rPr>
                <w:rFonts w:cs="Century Gothic"/>
                <w:color w:val="000000"/>
                <w:sz w:val="20"/>
                <w:lang w:val="en-NZ"/>
              </w:rPr>
              <w:t xml:space="preserve"> </w:t>
            </w:r>
            <w:r w:rsidRPr="00B6047A">
              <w:rPr>
                <w:rFonts w:cs="Century Gothic"/>
                <w:color w:val="000000"/>
                <w:sz w:val="20"/>
                <w:lang w:val="en-NZ"/>
              </w:rPr>
              <w:t xml:space="preserve"> This type of work would be expected to be led by Māori researchers with cultural fluency and knowledge.</w:t>
            </w:r>
          </w:p>
          <w:p w14:paraId="021D450B" w14:textId="77777777" w:rsidR="00C5498E" w:rsidRPr="00B6047A" w:rsidRDefault="00C5498E" w:rsidP="00DC000B">
            <w:pPr>
              <w:numPr>
                <w:ilvl w:val="0"/>
                <w:numId w:val="9"/>
              </w:numPr>
              <w:spacing w:beforeAutospacing="1" w:after="120" w:afterAutospacing="1" w:line="280" w:lineRule="exact"/>
              <w:rPr>
                <w:rFonts w:cs="Century Gothic"/>
                <w:color w:val="000000"/>
                <w:sz w:val="20"/>
                <w:lang w:val="en-NZ"/>
              </w:rPr>
            </w:pPr>
            <w:r w:rsidRPr="00B6047A">
              <w:rPr>
                <w:rFonts w:cs="Century Gothic"/>
                <w:color w:val="000000"/>
                <w:sz w:val="20"/>
                <w:lang w:val="en-NZ"/>
              </w:rPr>
              <w:lastRenderedPageBreak/>
              <w:t xml:space="preserve">Māori-centred research may be collaborative or consultative, with direct input from Māori groups, commonly including Māori researchers or a collaboration with Māori researchers or researchers under the guidance/mentoring of Māori. </w:t>
            </w:r>
          </w:p>
          <w:p w14:paraId="37EE6501" w14:textId="77777777" w:rsidR="00C5498E" w:rsidRPr="00B6047A" w:rsidRDefault="00C5498E" w:rsidP="00DC000B">
            <w:pPr>
              <w:numPr>
                <w:ilvl w:val="0"/>
                <w:numId w:val="9"/>
              </w:numPr>
              <w:spacing w:before="100" w:beforeAutospacing="1" w:after="100" w:afterAutospacing="1" w:line="280" w:lineRule="exact"/>
              <w:rPr>
                <w:rFonts w:cs="Century Gothic"/>
                <w:color w:val="000000"/>
                <w:sz w:val="20"/>
                <w:lang w:val="en-NZ"/>
              </w:rPr>
            </w:pPr>
            <w:r w:rsidRPr="00B6047A">
              <w:rPr>
                <w:rFonts w:cs="Century Gothic"/>
                <w:color w:val="000000"/>
                <w:sz w:val="20"/>
                <w:lang w:val="en-NZ"/>
              </w:rPr>
              <w:t>There is alignment with and contribution to Māori (e.g., iwi / hapū, organisations) aspirations, that is appropriate for the research being undertaken.</w:t>
            </w:r>
          </w:p>
          <w:p w14:paraId="4FA5B611" w14:textId="77777777" w:rsidR="00C5498E" w:rsidRPr="00B6047A" w:rsidRDefault="00C5498E" w:rsidP="00DC000B">
            <w:pPr>
              <w:numPr>
                <w:ilvl w:val="0"/>
                <w:numId w:val="9"/>
              </w:numPr>
              <w:spacing w:beforeAutospacing="1" w:after="120" w:afterAutospacing="1" w:line="280" w:lineRule="exact"/>
              <w:rPr>
                <w:rFonts w:cs="Century Gothic"/>
                <w:color w:val="000000"/>
                <w:sz w:val="20"/>
                <w:lang w:val="en-NZ"/>
              </w:rPr>
            </w:pPr>
            <w:r w:rsidRPr="00B6047A">
              <w:rPr>
                <w:rFonts w:cs="Century Gothic"/>
                <w:color w:val="000000"/>
                <w:sz w:val="20"/>
                <w:lang w:val="en-NZ"/>
              </w:rPr>
              <w:t>The work contributes to Māori (e.g. iwi/hapū organisations) aspirations and outcomes and is likely to be mana enhancing.</w:t>
            </w:r>
          </w:p>
          <w:p w14:paraId="23469327" w14:textId="77777777" w:rsidR="00C5498E" w:rsidRPr="00B6047A" w:rsidRDefault="00C5498E" w:rsidP="00DC000B">
            <w:pPr>
              <w:numPr>
                <w:ilvl w:val="0"/>
                <w:numId w:val="9"/>
              </w:numPr>
              <w:spacing w:beforeAutospacing="1" w:after="120" w:afterAutospacing="1" w:line="280" w:lineRule="exact"/>
              <w:rPr>
                <w:rFonts w:cs="Century Gothic"/>
                <w:color w:val="000000"/>
                <w:sz w:val="20"/>
                <w:lang w:val="en-NZ"/>
              </w:rPr>
            </w:pPr>
            <w:r w:rsidRPr="00B6047A">
              <w:rPr>
                <w:rFonts w:cs="Century Gothic"/>
                <w:color w:val="000000"/>
                <w:sz w:val="20"/>
                <w:lang w:val="en-NZ"/>
              </w:rPr>
              <w:t xml:space="preserve">Examples could include specific Māori genome studies, whakapapa links, the relationship between genetic adaptation and Māori traditional environments. </w:t>
            </w:r>
          </w:p>
        </w:tc>
      </w:tr>
    </w:tbl>
    <w:p w14:paraId="2E34B5EE" w14:textId="77777777" w:rsidR="00C5498E" w:rsidRPr="00B6047A" w:rsidRDefault="00C5498E" w:rsidP="00C5498E">
      <w:pPr>
        <w:spacing w:after="120" w:line="280" w:lineRule="exact"/>
        <w:rPr>
          <w:rFonts w:ascii="Century Gothic" w:eastAsia="Century Gothic" w:hAnsi="Century Gothic" w:cs="Century Gothic"/>
          <w:sz w:val="20"/>
          <w:lang w:val="en-NZ"/>
        </w:rPr>
      </w:pPr>
    </w:p>
    <w:p w14:paraId="373438A3" w14:textId="77777777" w:rsidR="00C5498E" w:rsidRPr="00B6047A" w:rsidRDefault="00C5498E" w:rsidP="00C5498E">
      <w:pPr>
        <w:spacing w:after="12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As seen in the Tiriti principles tables below, where research is not seen to have any specific Māori component, Māori involvement is around high-level decision-making, rather than on-the-ground implementation.</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On the other hand, research that is more specific to Māori requires more formal engagement with Māori.</w:t>
      </w:r>
    </w:p>
    <w:p w14:paraId="696DA280" w14:textId="77777777" w:rsidR="00C5498E" w:rsidRPr="00B6047A" w:rsidRDefault="00C5498E" w:rsidP="00C5498E">
      <w:pPr>
        <w:spacing w:after="120" w:line="280" w:lineRule="exact"/>
        <w:rPr>
          <w:rFonts w:ascii="Century Gothic" w:eastAsia="Century Gothic" w:hAnsi="Century Gothic" w:cs="Century Gothic"/>
          <w:b/>
          <w:bCs/>
          <w:sz w:val="20"/>
          <w:lang w:val="en-NZ"/>
        </w:rPr>
      </w:pPr>
    </w:p>
    <w:p w14:paraId="2DFFE7CF" w14:textId="77777777" w:rsidR="00C5498E" w:rsidRPr="00B6047A" w:rsidRDefault="00C5498E" w:rsidP="00C5498E">
      <w:pPr>
        <w:spacing w:after="120" w:line="280" w:lineRule="exact"/>
        <w:rPr>
          <w:rFonts w:ascii="Century Gothic" w:eastAsia="Century Gothic" w:hAnsi="Century Gothic" w:cs="Century Gothic"/>
          <w:b/>
          <w:bCs/>
          <w:sz w:val="20"/>
          <w:lang w:val="en-NZ"/>
        </w:rPr>
      </w:pPr>
    </w:p>
    <w:p w14:paraId="4D6CCBD6" w14:textId="77777777" w:rsidR="00C5498E" w:rsidRPr="00B6047A" w:rsidRDefault="00C5498E" w:rsidP="00C5498E">
      <w:pPr>
        <w:spacing w:after="120" w:line="280" w:lineRule="exact"/>
        <w:rPr>
          <w:rFonts w:ascii="Century Gothic" w:eastAsia="Century Gothic" w:hAnsi="Century Gothic" w:cs="Century Gothic"/>
          <w:b/>
          <w:bCs/>
          <w:sz w:val="20"/>
          <w:lang w:val="en-NZ"/>
        </w:rPr>
      </w:pPr>
    </w:p>
    <w:p w14:paraId="61D4B033" w14:textId="77777777" w:rsidR="00C5498E" w:rsidRPr="00B6047A" w:rsidRDefault="00C5498E" w:rsidP="00C5498E">
      <w:pP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br w:type="page"/>
      </w:r>
    </w:p>
    <w:p w14:paraId="37787E1A" w14:textId="77777777" w:rsidR="00C5498E" w:rsidRPr="00B6047A" w:rsidRDefault="00C5498E" w:rsidP="00C5498E">
      <w:pPr>
        <w:spacing w:after="120" w:line="280" w:lineRule="exact"/>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lastRenderedPageBreak/>
        <w:t xml:space="preserve">Table Two: </w:t>
      </w:r>
      <w:r w:rsidRPr="00B6047A">
        <w:rPr>
          <w:rFonts w:ascii="Century Gothic" w:eastAsia="Century Gothic" w:hAnsi="Century Gothic" w:cs="Century Gothic"/>
          <w:color w:val="000000"/>
          <w:sz w:val="20"/>
          <w:lang w:val="en-NZ"/>
        </w:rPr>
        <w:t xml:space="preserve">The application of </w:t>
      </w:r>
      <w:r w:rsidRPr="00B6047A">
        <w:rPr>
          <w:rFonts w:ascii="Century Gothic" w:eastAsia="Century Gothic" w:hAnsi="Century Gothic" w:cs="Century Gothic"/>
          <w:b/>
          <w:bCs/>
          <w:color w:val="000000"/>
          <w:sz w:val="20"/>
          <w:lang w:val="en-NZ"/>
        </w:rPr>
        <w:t>Tiriti mana principles</w:t>
      </w:r>
      <w:r w:rsidRPr="00B6047A">
        <w:rPr>
          <w:rFonts w:ascii="Century Gothic" w:eastAsia="Century Gothic" w:hAnsi="Century Gothic" w:cs="Century Gothic"/>
          <w:color w:val="000000"/>
          <w:sz w:val="20"/>
          <w:lang w:val="en-NZ"/>
        </w:rPr>
        <w:t xml:space="preserve"> can be viewed in accordance with the table below.</w:t>
      </w:r>
      <w:r>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color w:val="000000"/>
          <w:sz w:val="20"/>
          <w:lang w:val="en-NZ"/>
        </w:rPr>
        <w:t xml:space="preserve"> An explanation of numbers 1.1- 3.1 can be found below the table.</w:t>
      </w:r>
      <w:r>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sz w:val="20"/>
          <w:lang w:val="en-NZ"/>
        </w:rPr>
        <w:t>The following colours indicate the requirement level in each instance:</w:t>
      </w:r>
    </w:p>
    <w:p w14:paraId="248A82AA" w14:textId="77777777" w:rsidR="00C5498E" w:rsidRPr="00B6047A" w:rsidRDefault="00C5498E" w:rsidP="00C5498E">
      <w:pPr>
        <w:spacing w:after="120" w:line="280" w:lineRule="exact"/>
        <w:rPr>
          <w:rFonts w:ascii="Century Gothic" w:eastAsia="Century Gothic" w:hAnsi="Century Gothic" w:cs="Century Gothic"/>
          <w:sz w:val="20"/>
          <w:lang w:val="en-NZ"/>
        </w:rPr>
      </w:pPr>
    </w:p>
    <w:tbl>
      <w:tblPr>
        <w:tblStyle w:val="TableGrid1"/>
        <w:tblpPr w:leftFromText="180" w:rightFromText="180" w:vertAnchor="text" w:horzAnchor="margin" w:tblpXSpec="center" w:tblpY="52"/>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151"/>
        <w:gridCol w:w="400"/>
        <w:gridCol w:w="851"/>
        <w:gridCol w:w="1984"/>
        <w:gridCol w:w="426"/>
        <w:gridCol w:w="850"/>
        <w:gridCol w:w="2977"/>
      </w:tblGrid>
      <w:tr w:rsidR="00C5498E" w:rsidRPr="00B6047A" w14:paraId="4CA3157D" w14:textId="77777777" w:rsidTr="00764CC3">
        <w:trPr>
          <w:trHeight w:val="274"/>
        </w:trPr>
        <w:tc>
          <w:tcPr>
            <w:tcW w:w="846" w:type="dxa"/>
            <w:shd w:val="clear" w:color="auto" w:fill="FFFFAB"/>
          </w:tcPr>
          <w:p w14:paraId="70C377B7" w14:textId="77777777" w:rsidR="00C5498E" w:rsidRPr="00B6047A" w:rsidRDefault="00C5498E" w:rsidP="00764CC3">
            <w:pPr>
              <w:spacing w:after="120" w:line="280" w:lineRule="exact"/>
              <w:jc w:val="both"/>
              <w:rPr>
                <w:rFonts w:cs="Century Gothic"/>
                <w:sz w:val="20"/>
                <w:lang w:val="en-GB"/>
              </w:rPr>
            </w:pPr>
          </w:p>
        </w:tc>
        <w:tc>
          <w:tcPr>
            <w:tcW w:w="2151" w:type="dxa"/>
          </w:tcPr>
          <w:p w14:paraId="15D49E05" w14:textId="77777777" w:rsidR="00C5498E" w:rsidRPr="00B6047A" w:rsidRDefault="00C5498E" w:rsidP="00764CC3">
            <w:pPr>
              <w:spacing w:after="120" w:line="280" w:lineRule="exact"/>
              <w:jc w:val="both"/>
              <w:rPr>
                <w:rFonts w:cs="Century Gothic"/>
                <w:sz w:val="20"/>
                <w:lang w:val="en-GB"/>
              </w:rPr>
            </w:pPr>
            <w:r w:rsidRPr="00B6047A">
              <w:rPr>
                <w:rFonts w:cs="Century Gothic"/>
                <w:sz w:val="20"/>
                <w:lang w:val="en-GB"/>
              </w:rPr>
              <w:t>Considered</w:t>
            </w:r>
          </w:p>
        </w:tc>
        <w:tc>
          <w:tcPr>
            <w:tcW w:w="400" w:type="dxa"/>
          </w:tcPr>
          <w:p w14:paraId="18BEE715" w14:textId="77777777" w:rsidR="00C5498E" w:rsidRPr="00B6047A" w:rsidRDefault="00C5498E" w:rsidP="00764CC3">
            <w:pPr>
              <w:spacing w:after="120" w:line="280" w:lineRule="exact"/>
              <w:jc w:val="both"/>
              <w:rPr>
                <w:rFonts w:cs="Century Gothic"/>
                <w:sz w:val="20"/>
                <w:lang w:val="en-GB"/>
              </w:rPr>
            </w:pPr>
          </w:p>
        </w:tc>
        <w:tc>
          <w:tcPr>
            <w:tcW w:w="851" w:type="dxa"/>
            <w:shd w:val="clear" w:color="auto" w:fill="FFCB7D"/>
          </w:tcPr>
          <w:p w14:paraId="6EB3CC1F" w14:textId="77777777" w:rsidR="00C5498E" w:rsidRPr="00B6047A" w:rsidRDefault="00C5498E" w:rsidP="00764CC3">
            <w:pPr>
              <w:spacing w:after="120" w:line="280" w:lineRule="exact"/>
              <w:jc w:val="both"/>
              <w:rPr>
                <w:rFonts w:cs="Century Gothic"/>
                <w:sz w:val="20"/>
                <w:lang w:val="en-GB"/>
              </w:rPr>
            </w:pPr>
          </w:p>
        </w:tc>
        <w:tc>
          <w:tcPr>
            <w:tcW w:w="1984" w:type="dxa"/>
          </w:tcPr>
          <w:p w14:paraId="02AAA3A6" w14:textId="77777777" w:rsidR="00C5498E" w:rsidRPr="00B6047A" w:rsidRDefault="00C5498E" w:rsidP="00764CC3">
            <w:pPr>
              <w:spacing w:after="120" w:line="280" w:lineRule="exact"/>
              <w:jc w:val="both"/>
              <w:rPr>
                <w:rFonts w:cs="Century Gothic"/>
                <w:sz w:val="20"/>
                <w:lang w:val="en-GB"/>
              </w:rPr>
            </w:pPr>
            <w:r w:rsidRPr="00B6047A">
              <w:rPr>
                <w:rFonts w:cs="Century Gothic"/>
                <w:sz w:val="20"/>
                <w:lang w:val="en-GB"/>
              </w:rPr>
              <w:t>Action required</w:t>
            </w:r>
          </w:p>
        </w:tc>
        <w:tc>
          <w:tcPr>
            <w:tcW w:w="426" w:type="dxa"/>
          </w:tcPr>
          <w:p w14:paraId="6754B772" w14:textId="77777777" w:rsidR="00C5498E" w:rsidRPr="00B6047A" w:rsidRDefault="00C5498E" w:rsidP="00764CC3">
            <w:pPr>
              <w:spacing w:after="120" w:line="280" w:lineRule="exact"/>
              <w:jc w:val="both"/>
              <w:rPr>
                <w:rFonts w:cs="Century Gothic"/>
                <w:sz w:val="20"/>
                <w:lang w:val="en-GB"/>
              </w:rPr>
            </w:pPr>
          </w:p>
        </w:tc>
        <w:tc>
          <w:tcPr>
            <w:tcW w:w="850" w:type="dxa"/>
            <w:shd w:val="clear" w:color="auto" w:fill="FFCCCC"/>
          </w:tcPr>
          <w:p w14:paraId="380E8DB3" w14:textId="77777777" w:rsidR="00C5498E" w:rsidRPr="00B6047A" w:rsidRDefault="00C5498E" w:rsidP="00764CC3">
            <w:pPr>
              <w:spacing w:after="120" w:line="280" w:lineRule="exact"/>
              <w:jc w:val="both"/>
              <w:rPr>
                <w:rFonts w:cs="Century Gothic"/>
                <w:sz w:val="20"/>
                <w:lang w:val="en-GB"/>
              </w:rPr>
            </w:pPr>
          </w:p>
        </w:tc>
        <w:tc>
          <w:tcPr>
            <w:tcW w:w="2977" w:type="dxa"/>
          </w:tcPr>
          <w:p w14:paraId="215ECB1F" w14:textId="77777777" w:rsidR="00C5498E" w:rsidRPr="00B6047A" w:rsidRDefault="00C5498E" w:rsidP="00764CC3">
            <w:pPr>
              <w:spacing w:after="120" w:line="280" w:lineRule="exact"/>
              <w:jc w:val="both"/>
              <w:rPr>
                <w:rFonts w:cs="Century Gothic"/>
                <w:sz w:val="20"/>
                <w:lang w:val="en-GB"/>
              </w:rPr>
            </w:pPr>
            <w:r w:rsidRPr="00B6047A">
              <w:rPr>
                <w:rFonts w:cs="Century Gothic"/>
                <w:sz w:val="20"/>
                <w:lang w:val="en-GB"/>
              </w:rPr>
              <w:t>Mandatory requirement</w:t>
            </w:r>
          </w:p>
        </w:tc>
      </w:tr>
    </w:tbl>
    <w:p w14:paraId="277C4337" w14:textId="77777777" w:rsidR="00C5498E" w:rsidRPr="00B6047A" w:rsidRDefault="00C5498E" w:rsidP="00C5498E">
      <w:pPr>
        <w:spacing w:after="120" w:line="280" w:lineRule="exact"/>
        <w:rPr>
          <w:rFonts w:ascii="Century Gothic" w:eastAsia="Century Gothic" w:hAnsi="Century Gothic" w:cs="Century Gothic"/>
          <w:sz w:val="20"/>
          <w:lang w:val="en-NZ"/>
        </w:rPr>
      </w:pPr>
    </w:p>
    <w:p w14:paraId="652B508C" w14:textId="77777777" w:rsidR="00C5498E" w:rsidRPr="00B6047A" w:rsidRDefault="00C5498E" w:rsidP="00C5498E">
      <w:pPr>
        <w:spacing w:after="120" w:line="280" w:lineRule="exact"/>
        <w:rPr>
          <w:rFonts w:ascii="Century Gothic" w:eastAsia="Century Gothic" w:hAnsi="Century Gothic" w:cs="Century Gothic"/>
          <w:sz w:val="20"/>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328"/>
        <w:gridCol w:w="4134"/>
        <w:gridCol w:w="1559"/>
        <w:gridCol w:w="1666"/>
        <w:gridCol w:w="1657"/>
      </w:tblGrid>
      <w:tr w:rsidR="00C5498E" w:rsidRPr="00B6047A" w14:paraId="3644002C" w14:textId="77777777" w:rsidTr="00764CC3">
        <w:trPr>
          <w:trHeight w:val="973"/>
        </w:trPr>
        <w:tc>
          <w:tcPr>
            <w:tcW w:w="575" w:type="pct"/>
            <w:shd w:val="clear" w:color="auto" w:fill="B6DEE9"/>
            <w:tcMar>
              <w:top w:w="0" w:type="dxa"/>
              <w:left w:w="108" w:type="dxa"/>
              <w:bottom w:w="0" w:type="dxa"/>
              <w:right w:w="108" w:type="dxa"/>
            </w:tcMar>
            <w:vAlign w:val="center"/>
          </w:tcPr>
          <w:p w14:paraId="49BDF435"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Tiriti Expression</w:t>
            </w:r>
          </w:p>
        </w:tc>
        <w:tc>
          <w:tcPr>
            <w:tcW w:w="1193" w:type="pct"/>
            <w:shd w:val="clear" w:color="auto" w:fill="B6DEE9"/>
            <w:tcMar>
              <w:top w:w="0" w:type="dxa"/>
              <w:left w:w="108" w:type="dxa"/>
              <w:bottom w:w="0" w:type="dxa"/>
              <w:right w:w="108" w:type="dxa"/>
            </w:tcMar>
            <w:vAlign w:val="center"/>
          </w:tcPr>
          <w:p w14:paraId="174E7DEE"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Interpretation in Health Research Space</w:t>
            </w:r>
          </w:p>
        </w:tc>
        <w:tc>
          <w:tcPr>
            <w:tcW w:w="1482" w:type="pct"/>
            <w:shd w:val="clear" w:color="auto" w:fill="B6DEE9"/>
          </w:tcPr>
          <w:p w14:paraId="3941E3C9" w14:textId="77777777" w:rsidR="00C5498E" w:rsidRPr="00B6047A" w:rsidRDefault="00C5498E" w:rsidP="00764CC3">
            <w:pPr>
              <w:spacing w:after="200" w:line="280" w:lineRule="exact"/>
              <w:ind w:right="67"/>
              <w:jc w:val="center"/>
              <w:rPr>
                <w:rFonts w:ascii="Century Gothic" w:eastAsia="Century Gothic" w:hAnsi="Century Gothic" w:cs="Century Gothic"/>
                <w:b/>
                <w:bCs/>
                <w:sz w:val="20"/>
                <w:lang w:val="en-NZ"/>
              </w:rPr>
            </w:pPr>
          </w:p>
          <w:p w14:paraId="2FCC6512" w14:textId="77777777" w:rsidR="00C5498E" w:rsidRPr="00B6047A" w:rsidRDefault="00C5498E" w:rsidP="00764CC3">
            <w:pPr>
              <w:spacing w:after="200" w:line="280" w:lineRule="exact"/>
              <w:ind w:right="67"/>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Examples of Implementation Actions</w:t>
            </w:r>
          </w:p>
        </w:tc>
        <w:tc>
          <w:tcPr>
            <w:tcW w:w="559" w:type="pct"/>
            <w:shd w:val="clear" w:color="auto" w:fill="B6DEE9"/>
          </w:tcPr>
          <w:p w14:paraId="4F4E2F37" w14:textId="77777777" w:rsidR="00C5498E" w:rsidRPr="00B6047A" w:rsidRDefault="00C5498E" w:rsidP="00764CC3">
            <w:pPr>
              <w:spacing w:after="200" w:line="280" w:lineRule="exact"/>
              <w:ind w:left="-103" w:right="-115"/>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A. Research of relevance to all peoples</w:t>
            </w:r>
          </w:p>
        </w:tc>
        <w:tc>
          <w:tcPr>
            <w:tcW w:w="597" w:type="pct"/>
            <w:shd w:val="clear" w:color="auto" w:fill="B6DEE9"/>
          </w:tcPr>
          <w:p w14:paraId="05763C5B" w14:textId="77777777" w:rsidR="00C5498E" w:rsidRPr="00B6047A" w:rsidRDefault="00C5498E" w:rsidP="00764CC3">
            <w:pPr>
              <w:spacing w:after="200" w:line="280" w:lineRule="exact"/>
              <w:ind w:left="-109" w:right="-108"/>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B  Research specifically relevant to Māori and research involving Māori</w:t>
            </w:r>
          </w:p>
        </w:tc>
        <w:tc>
          <w:tcPr>
            <w:tcW w:w="594" w:type="pct"/>
            <w:shd w:val="clear" w:color="auto" w:fill="B6DEE9"/>
          </w:tcPr>
          <w:p w14:paraId="23F62DB3"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C  Māori-centred research and Kaupapa Māori research</w:t>
            </w:r>
          </w:p>
        </w:tc>
      </w:tr>
      <w:tr w:rsidR="00C5498E" w:rsidRPr="00B6047A" w14:paraId="24626C47" w14:textId="77777777" w:rsidTr="00764CC3">
        <w:tc>
          <w:tcPr>
            <w:tcW w:w="575" w:type="pct"/>
            <w:vMerge w:val="restart"/>
            <w:tcMar>
              <w:top w:w="0" w:type="dxa"/>
              <w:left w:w="108" w:type="dxa"/>
              <w:bottom w:w="0" w:type="dxa"/>
              <w:right w:w="108" w:type="dxa"/>
            </w:tcMar>
            <w:vAlign w:val="center"/>
          </w:tcPr>
          <w:p w14:paraId="69C77126" w14:textId="77777777" w:rsidR="00C5498E" w:rsidRPr="00B6047A" w:rsidRDefault="00C5498E" w:rsidP="00764CC3">
            <w:pPr>
              <w:spacing w:after="200" w:line="280" w:lineRule="exact"/>
              <w:ind w:left="35" w:right="-105"/>
              <w:jc w:val="both"/>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Whakahaere</w:t>
            </w:r>
          </w:p>
          <w:p w14:paraId="234C9E7D" w14:textId="77777777" w:rsidR="00C5498E" w:rsidRPr="00B6047A" w:rsidRDefault="00C5498E" w:rsidP="00764CC3">
            <w:pPr>
              <w:spacing w:after="200" w:line="280" w:lineRule="exact"/>
              <w:jc w:val="both"/>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(Article I)</w:t>
            </w:r>
          </w:p>
        </w:tc>
        <w:tc>
          <w:tcPr>
            <w:tcW w:w="1193" w:type="pct"/>
            <w:vMerge w:val="restart"/>
            <w:tcMar>
              <w:top w:w="0" w:type="dxa"/>
              <w:left w:w="108" w:type="dxa"/>
              <w:bottom w:w="0" w:type="dxa"/>
              <w:right w:w="108" w:type="dxa"/>
            </w:tcMar>
            <w:vAlign w:val="center"/>
          </w:tcPr>
          <w:p w14:paraId="4D68F986" w14:textId="77777777" w:rsidR="00C5498E" w:rsidRPr="00B6047A" w:rsidRDefault="00C5498E" w:rsidP="00764CC3">
            <w:pPr>
              <w:spacing w:after="200" w:line="280" w:lineRule="exact"/>
              <w:ind w:left="36" w:right="22"/>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Effective and appropriate kaitiakitanga and stewardship.</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Mana whakahaere is the exercise of control in accordance with mātauranga Māori. This goes beyond the management of assets and resources and towards enabling Māori aspirations for health and independence.</w:t>
            </w:r>
          </w:p>
        </w:tc>
        <w:tc>
          <w:tcPr>
            <w:tcW w:w="1482" w:type="pct"/>
          </w:tcPr>
          <w:p w14:paraId="4F397AE5"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voices are equally heard in governance and leadership decision-making roles.</w:t>
            </w:r>
          </w:p>
        </w:tc>
        <w:tc>
          <w:tcPr>
            <w:tcW w:w="559" w:type="pct"/>
            <w:shd w:val="clear" w:color="auto" w:fill="FFFFAB"/>
            <w:vAlign w:val="center"/>
          </w:tcPr>
          <w:p w14:paraId="6B2C8EA3" w14:textId="77777777" w:rsidR="00C5498E" w:rsidRPr="00B6047A" w:rsidRDefault="00C5498E" w:rsidP="00764CC3">
            <w:pPr>
              <w:spacing w:after="200"/>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tc>
        <w:tc>
          <w:tcPr>
            <w:tcW w:w="597" w:type="pct"/>
            <w:shd w:val="clear" w:color="auto" w:fill="FFCB7D"/>
            <w:vAlign w:val="center"/>
          </w:tcPr>
          <w:p w14:paraId="2768EF30" w14:textId="77777777" w:rsidR="00C5498E" w:rsidRPr="00B6047A" w:rsidRDefault="00C5498E" w:rsidP="00764CC3">
            <w:pPr>
              <w:ind w:right="133"/>
              <w:contextualSpacing/>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94" w:type="pct"/>
            <w:vAlign w:val="center"/>
          </w:tcPr>
          <w:p w14:paraId="7FACD488" w14:textId="77777777" w:rsidR="00C5498E" w:rsidRPr="00B6047A" w:rsidRDefault="00C5498E" w:rsidP="00764CC3">
            <w:pPr>
              <w:ind w:right="133"/>
              <w:contextualSpacing/>
              <w:jc w:val="center"/>
              <w:rPr>
                <w:rFonts w:ascii="Century Gothic" w:eastAsia="Century Gothic" w:hAnsi="Century Gothic" w:cs="Century Gothic"/>
                <w:color w:val="202124"/>
                <w:sz w:val="20"/>
                <w:lang w:val="en-NZ"/>
              </w:rPr>
            </w:pPr>
          </w:p>
        </w:tc>
      </w:tr>
      <w:tr w:rsidR="00C5498E" w:rsidRPr="00B6047A" w14:paraId="2312741A" w14:textId="77777777" w:rsidTr="00764CC3">
        <w:tc>
          <w:tcPr>
            <w:tcW w:w="575" w:type="pct"/>
            <w:vMerge/>
            <w:tcMar>
              <w:top w:w="0" w:type="dxa"/>
              <w:left w:w="108" w:type="dxa"/>
              <w:bottom w:w="0" w:type="dxa"/>
              <w:right w:w="108" w:type="dxa"/>
            </w:tcMar>
            <w:vAlign w:val="center"/>
          </w:tcPr>
          <w:p w14:paraId="6EE0B7D5"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3DF950A1"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2096F9D8"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Māori voices are equally heard in priority setting. </w:t>
            </w:r>
          </w:p>
        </w:tc>
        <w:tc>
          <w:tcPr>
            <w:tcW w:w="559" w:type="pct"/>
            <w:shd w:val="clear" w:color="auto" w:fill="FFFFAB"/>
            <w:vAlign w:val="center"/>
          </w:tcPr>
          <w:p w14:paraId="5AFBA6A3" w14:textId="77777777" w:rsidR="00C5498E" w:rsidRPr="00B6047A" w:rsidRDefault="00C5498E" w:rsidP="00764CC3">
            <w:pPr>
              <w:spacing w:after="200"/>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tc>
        <w:tc>
          <w:tcPr>
            <w:tcW w:w="597" w:type="pct"/>
            <w:shd w:val="clear" w:color="auto" w:fill="FFCB7D"/>
            <w:vAlign w:val="center"/>
          </w:tcPr>
          <w:p w14:paraId="0334ACE3"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94" w:type="pct"/>
            <w:shd w:val="clear" w:color="auto" w:fill="FFCCCC"/>
            <w:vAlign w:val="center"/>
          </w:tcPr>
          <w:p w14:paraId="16D922A3"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48DCAEE4" w14:textId="77777777" w:rsidTr="00764CC3">
        <w:tc>
          <w:tcPr>
            <w:tcW w:w="575" w:type="pct"/>
            <w:vMerge/>
            <w:tcMar>
              <w:top w:w="0" w:type="dxa"/>
              <w:left w:w="108" w:type="dxa"/>
              <w:bottom w:w="0" w:type="dxa"/>
              <w:right w:w="108" w:type="dxa"/>
            </w:tcMar>
            <w:vAlign w:val="center"/>
          </w:tcPr>
          <w:p w14:paraId="15FCCC5C"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1E38A0C4"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7D7C53A5"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aspirations are included in the objectives for each research area.</w:t>
            </w:r>
          </w:p>
        </w:tc>
        <w:tc>
          <w:tcPr>
            <w:tcW w:w="559" w:type="pct"/>
            <w:vAlign w:val="center"/>
          </w:tcPr>
          <w:p w14:paraId="25A1D5FB" w14:textId="77777777" w:rsidR="00C5498E" w:rsidRPr="00B6047A" w:rsidRDefault="00C5498E" w:rsidP="00764CC3">
            <w:pPr>
              <w:spacing w:after="200"/>
              <w:jc w:val="center"/>
              <w:rPr>
                <w:rFonts w:ascii="Century Gothic" w:eastAsia="Century Gothic" w:hAnsi="Century Gothic" w:cs="Century Gothic"/>
                <w:sz w:val="20"/>
                <w:lang w:val="en-NZ"/>
              </w:rPr>
            </w:pPr>
          </w:p>
        </w:tc>
        <w:tc>
          <w:tcPr>
            <w:tcW w:w="597" w:type="pct"/>
            <w:shd w:val="clear" w:color="auto" w:fill="FFCB7D"/>
            <w:vAlign w:val="center"/>
          </w:tcPr>
          <w:p w14:paraId="4C9ACD88"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69CBC1F4"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13242D75" w14:textId="77777777" w:rsidTr="00764CC3">
        <w:tc>
          <w:tcPr>
            <w:tcW w:w="575" w:type="pct"/>
            <w:vMerge/>
            <w:tcMar>
              <w:top w:w="0" w:type="dxa"/>
              <w:left w:w="108" w:type="dxa"/>
              <w:bottom w:w="0" w:type="dxa"/>
              <w:right w:w="108" w:type="dxa"/>
            </w:tcMar>
            <w:vAlign w:val="center"/>
          </w:tcPr>
          <w:p w14:paraId="552E4754"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6B734DEF"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4181C3A8"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 definition of research that will be delivered in a manner inclusive of mana whakahaere.</w:t>
            </w:r>
          </w:p>
        </w:tc>
        <w:tc>
          <w:tcPr>
            <w:tcW w:w="559" w:type="pct"/>
            <w:vAlign w:val="center"/>
          </w:tcPr>
          <w:p w14:paraId="2A3BEB5C" w14:textId="77777777" w:rsidR="00C5498E" w:rsidRPr="00B6047A" w:rsidRDefault="00C5498E" w:rsidP="00764CC3">
            <w:pPr>
              <w:spacing w:after="200"/>
              <w:jc w:val="center"/>
              <w:rPr>
                <w:rFonts w:ascii="Century Gothic" w:eastAsia="Century Gothic" w:hAnsi="Century Gothic" w:cs="Century Gothic"/>
                <w:sz w:val="20"/>
                <w:lang w:val="en-NZ"/>
              </w:rPr>
            </w:pPr>
          </w:p>
        </w:tc>
        <w:tc>
          <w:tcPr>
            <w:tcW w:w="597" w:type="pct"/>
            <w:shd w:val="clear" w:color="auto" w:fill="FFCB7D"/>
            <w:vAlign w:val="center"/>
          </w:tcPr>
          <w:p w14:paraId="57C0EE67"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1F86D84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221D0FEE" w14:textId="77777777" w:rsidTr="00764CC3">
        <w:tc>
          <w:tcPr>
            <w:tcW w:w="575" w:type="pct"/>
            <w:vMerge/>
            <w:tcMar>
              <w:top w:w="0" w:type="dxa"/>
              <w:left w:w="108" w:type="dxa"/>
              <w:bottom w:w="0" w:type="dxa"/>
              <w:right w:w="108" w:type="dxa"/>
            </w:tcMar>
            <w:vAlign w:val="center"/>
          </w:tcPr>
          <w:p w14:paraId="6DF0992C"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42312B9D"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7362FEF9"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Kaupapa Māori research is implemented by Māori researchers and by those under the guidance of Māori researchers.</w:t>
            </w:r>
          </w:p>
        </w:tc>
        <w:tc>
          <w:tcPr>
            <w:tcW w:w="559" w:type="pct"/>
            <w:vAlign w:val="center"/>
          </w:tcPr>
          <w:p w14:paraId="37DC8799" w14:textId="77777777" w:rsidR="00C5498E" w:rsidRPr="00B6047A" w:rsidRDefault="00C5498E" w:rsidP="00764CC3">
            <w:pPr>
              <w:spacing w:after="200"/>
              <w:jc w:val="center"/>
              <w:rPr>
                <w:rFonts w:ascii="Century Gothic" w:eastAsia="Century Gothic" w:hAnsi="Century Gothic" w:cs="Century Gothic"/>
                <w:sz w:val="20"/>
                <w:lang w:val="en-NZ"/>
              </w:rPr>
            </w:pPr>
          </w:p>
        </w:tc>
        <w:tc>
          <w:tcPr>
            <w:tcW w:w="597" w:type="pct"/>
            <w:vAlign w:val="center"/>
          </w:tcPr>
          <w:p w14:paraId="224ADD36"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4" w:type="pct"/>
            <w:shd w:val="clear" w:color="auto" w:fill="FFCCCC"/>
            <w:vAlign w:val="center"/>
          </w:tcPr>
          <w:p w14:paraId="2D153849"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C5498E" w:rsidRPr="00B6047A" w14:paraId="56C2A8B0" w14:textId="77777777" w:rsidTr="00764CC3">
        <w:tc>
          <w:tcPr>
            <w:tcW w:w="575" w:type="pct"/>
            <w:vMerge w:val="restart"/>
            <w:tcMar>
              <w:top w:w="0" w:type="dxa"/>
              <w:left w:w="108" w:type="dxa"/>
              <w:bottom w:w="0" w:type="dxa"/>
              <w:right w:w="108" w:type="dxa"/>
            </w:tcMar>
            <w:vAlign w:val="center"/>
          </w:tcPr>
          <w:p w14:paraId="4FF8D4E8" w14:textId="77777777" w:rsidR="00C5498E" w:rsidRPr="00B6047A" w:rsidRDefault="00C5498E" w:rsidP="00764CC3">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Motuhake</w:t>
            </w:r>
          </w:p>
          <w:p w14:paraId="180CB202" w14:textId="77777777" w:rsidR="00C5498E" w:rsidRPr="00B6047A" w:rsidRDefault="00C5498E" w:rsidP="00764CC3">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(Article II)</w:t>
            </w:r>
          </w:p>
        </w:tc>
        <w:tc>
          <w:tcPr>
            <w:tcW w:w="1193" w:type="pct"/>
            <w:vMerge w:val="restart"/>
            <w:tcMar>
              <w:top w:w="0" w:type="dxa"/>
              <w:left w:w="108" w:type="dxa"/>
              <w:bottom w:w="0" w:type="dxa"/>
              <w:right w:w="108" w:type="dxa"/>
            </w:tcMar>
            <w:vAlign w:val="center"/>
          </w:tcPr>
          <w:p w14:paraId="3A15B584" w14:textId="77777777" w:rsidR="00C5498E" w:rsidRPr="00B6047A" w:rsidRDefault="00C5498E" w:rsidP="00764CC3">
            <w:pPr>
              <w:spacing w:after="200" w:line="280" w:lineRule="exact"/>
              <w:ind w:left="36" w:right="22"/>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 xml:space="preserve">The right for Māori to be Māori (Māori self-determination); to exercise their authority over their lives and to live on Māori </w:t>
            </w:r>
            <w:r w:rsidRPr="00B6047A">
              <w:rPr>
                <w:rFonts w:ascii="Century Gothic" w:eastAsia="Century Gothic" w:hAnsi="Century Gothic" w:cs="Century Gothic"/>
                <w:sz w:val="20"/>
                <w:lang w:val="en-NZ"/>
              </w:rPr>
              <w:lastRenderedPageBreak/>
              <w:t>terms and according to Māori philosophies, values and practices, including tikanga Māori.</w:t>
            </w:r>
          </w:p>
        </w:tc>
        <w:tc>
          <w:tcPr>
            <w:tcW w:w="1482" w:type="pct"/>
          </w:tcPr>
          <w:p w14:paraId="6DE16B08"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 xml:space="preserve">Leadership, research policy, processes and protocols are implemented that reflect mana </w:t>
            </w:r>
            <w:r w:rsidRPr="00B6047A">
              <w:rPr>
                <w:rFonts w:ascii="Century Gothic" w:eastAsia="Century Gothic" w:hAnsi="Century Gothic" w:cs="Century Gothic"/>
                <w:sz w:val="20"/>
                <w:lang w:val="en-NZ"/>
              </w:rPr>
              <w:pgNum/>
            </w:r>
            <w:r w:rsidRPr="00B6047A">
              <w:rPr>
                <w:rFonts w:ascii="Century Gothic" w:eastAsia="Century Gothic" w:hAnsi="Century Gothic" w:cs="Century Gothic"/>
                <w:sz w:val="20"/>
                <w:lang w:val="en-NZ"/>
              </w:rPr>
              <w:t>ea o</w:t>
            </w:r>
            <w:r w:rsidRPr="00B6047A">
              <w:rPr>
                <w:rFonts w:ascii="Century Gothic" w:eastAsia="Century Gothic" w:hAnsi="Century Gothic" w:cs="Century Gothic"/>
                <w:sz w:val="20"/>
                <w:lang w:val="en-NZ"/>
              </w:rPr>
              <w:pgNum/>
            </w:r>
            <w:r w:rsidRPr="00B6047A">
              <w:rPr>
                <w:rFonts w:ascii="Century Gothic" w:eastAsia="Century Gothic" w:hAnsi="Century Gothic" w:cs="Century Gothic"/>
                <w:sz w:val="20"/>
                <w:lang w:val="en-NZ"/>
              </w:rPr>
              <w:t>ke and continually give effect to Māori cultural development.</w:t>
            </w:r>
          </w:p>
        </w:tc>
        <w:tc>
          <w:tcPr>
            <w:tcW w:w="559" w:type="pct"/>
            <w:vAlign w:val="center"/>
          </w:tcPr>
          <w:p w14:paraId="7BD40930"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10717D3D" w14:textId="77777777" w:rsidR="00C5498E" w:rsidRPr="00B6047A" w:rsidRDefault="00C5498E" w:rsidP="00764CC3">
            <w:pPr>
              <w:spacing w:after="200"/>
              <w:jc w:val="center"/>
              <w:rPr>
                <w:rFonts w:ascii="Century Gothic" w:eastAsia="Century Gothic" w:hAnsi="Century Gothic" w:cs="Century Gothic"/>
                <w:sz w:val="20"/>
                <w:lang w:val="en-NZ"/>
              </w:rPr>
            </w:pPr>
          </w:p>
        </w:tc>
        <w:tc>
          <w:tcPr>
            <w:tcW w:w="597" w:type="pct"/>
            <w:shd w:val="clear" w:color="auto" w:fill="FFCB7D"/>
            <w:vAlign w:val="center"/>
          </w:tcPr>
          <w:p w14:paraId="6CDE37F1" w14:textId="77777777" w:rsidR="00C5498E" w:rsidRPr="00B6047A" w:rsidRDefault="00C5498E" w:rsidP="00764CC3">
            <w:pPr>
              <w:ind w:right="133"/>
              <w:contextualSpacing/>
              <w:jc w:val="center"/>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24150DE4" w14:textId="77777777" w:rsidR="00C5498E" w:rsidRPr="00B6047A" w:rsidRDefault="00C5498E" w:rsidP="00764CC3">
            <w:pPr>
              <w:ind w:left="430" w:right="133" w:hanging="284"/>
              <w:contextualSpacing/>
              <w:jc w:val="center"/>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C5498E" w:rsidRPr="00B6047A" w14:paraId="2FCC5EF7" w14:textId="77777777" w:rsidTr="00764CC3">
        <w:trPr>
          <w:trHeight w:val="615"/>
        </w:trPr>
        <w:tc>
          <w:tcPr>
            <w:tcW w:w="575" w:type="pct"/>
            <w:vMerge/>
            <w:tcMar>
              <w:top w:w="0" w:type="dxa"/>
              <w:left w:w="108" w:type="dxa"/>
              <w:bottom w:w="0" w:type="dxa"/>
              <w:right w:w="108" w:type="dxa"/>
            </w:tcMar>
            <w:vAlign w:val="center"/>
          </w:tcPr>
          <w:p w14:paraId="04CE3F02"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7753E5BF"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68A1CF2A"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are engaged about the programme.</w:t>
            </w:r>
          </w:p>
        </w:tc>
        <w:tc>
          <w:tcPr>
            <w:tcW w:w="559" w:type="pct"/>
            <w:vAlign w:val="center"/>
          </w:tcPr>
          <w:p w14:paraId="229564FD"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7" w:type="pct"/>
            <w:shd w:val="clear" w:color="auto" w:fill="FFCB7D"/>
            <w:vAlign w:val="center"/>
          </w:tcPr>
          <w:p w14:paraId="584FF282"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0E1752B3"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56284559" w14:textId="77777777" w:rsidTr="00764CC3">
        <w:trPr>
          <w:trHeight w:val="615"/>
        </w:trPr>
        <w:tc>
          <w:tcPr>
            <w:tcW w:w="575" w:type="pct"/>
            <w:vMerge/>
            <w:tcMar>
              <w:top w:w="0" w:type="dxa"/>
              <w:left w:w="108" w:type="dxa"/>
              <w:bottom w:w="0" w:type="dxa"/>
              <w:right w:w="108" w:type="dxa"/>
            </w:tcMar>
            <w:vAlign w:val="center"/>
          </w:tcPr>
          <w:p w14:paraId="4E63FD93"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6D03D40E"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46EB0D41"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There is continued Māori involvement in every area of the programme.</w:t>
            </w:r>
          </w:p>
        </w:tc>
        <w:tc>
          <w:tcPr>
            <w:tcW w:w="559" w:type="pct"/>
            <w:vAlign w:val="center"/>
          </w:tcPr>
          <w:p w14:paraId="42684D4E"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7" w:type="pct"/>
            <w:shd w:val="clear" w:color="auto" w:fill="FFCB7D"/>
            <w:vAlign w:val="center"/>
          </w:tcPr>
          <w:p w14:paraId="366A893F"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tc>
        <w:tc>
          <w:tcPr>
            <w:tcW w:w="594" w:type="pct"/>
            <w:shd w:val="clear" w:color="auto" w:fill="FFCCCC"/>
            <w:vAlign w:val="center"/>
          </w:tcPr>
          <w:p w14:paraId="301FFC8C"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3CCD7FCF" w14:textId="77777777" w:rsidTr="00764CC3">
        <w:tc>
          <w:tcPr>
            <w:tcW w:w="575" w:type="pct"/>
            <w:vMerge/>
            <w:tcMar>
              <w:top w:w="0" w:type="dxa"/>
              <w:left w:w="108" w:type="dxa"/>
              <w:bottom w:w="0" w:type="dxa"/>
              <w:right w:w="108" w:type="dxa"/>
            </w:tcMar>
            <w:vAlign w:val="center"/>
          </w:tcPr>
          <w:p w14:paraId="61F953E7"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3514A653"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743D9D15"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will be delivered in a manner consistent with mātauranga Māori.</w:t>
            </w:r>
          </w:p>
        </w:tc>
        <w:tc>
          <w:tcPr>
            <w:tcW w:w="559" w:type="pct"/>
            <w:vAlign w:val="center"/>
          </w:tcPr>
          <w:p w14:paraId="7AC03426"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7" w:type="pct"/>
            <w:shd w:val="clear" w:color="auto" w:fill="FFCB7D"/>
            <w:vAlign w:val="center"/>
          </w:tcPr>
          <w:p w14:paraId="3A9D8A05"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48C4B12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72B4DD62" w14:textId="77777777" w:rsidTr="00764CC3">
        <w:trPr>
          <w:trHeight w:val="657"/>
        </w:trPr>
        <w:tc>
          <w:tcPr>
            <w:tcW w:w="575" w:type="pct"/>
            <w:vMerge/>
            <w:tcMar>
              <w:top w:w="0" w:type="dxa"/>
              <w:left w:w="108" w:type="dxa"/>
              <w:bottom w:w="0" w:type="dxa"/>
              <w:right w:w="108" w:type="dxa"/>
            </w:tcMar>
            <w:vAlign w:val="center"/>
          </w:tcPr>
          <w:p w14:paraId="32AD0317"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325C497F"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197C5333"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activities are carried out in a manner and by personnel as determined by Māori.</w:t>
            </w:r>
          </w:p>
        </w:tc>
        <w:tc>
          <w:tcPr>
            <w:tcW w:w="559" w:type="pct"/>
            <w:vAlign w:val="center"/>
          </w:tcPr>
          <w:p w14:paraId="519078A2"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7" w:type="pct"/>
            <w:vAlign w:val="center"/>
          </w:tcPr>
          <w:p w14:paraId="2E70C607"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4" w:type="pct"/>
            <w:shd w:val="clear" w:color="auto" w:fill="FFCCCC"/>
            <w:vAlign w:val="center"/>
          </w:tcPr>
          <w:p w14:paraId="3769D8F4"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5370C20A" w14:textId="77777777" w:rsidTr="00764CC3">
        <w:tc>
          <w:tcPr>
            <w:tcW w:w="575" w:type="pct"/>
            <w:vMerge w:val="restart"/>
            <w:tcMar>
              <w:top w:w="0" w:type="dxa"/>
              <w:left w:w="108" w:type="dxa"/>
              <w:bottom w:w="0" w:type="dxa"/>
              <w:right w:w="108" w:type="dxa"/>
            </w:tcMar>
            <w:vAlign w:val="center"/>
          </w:tcPr>
          <w:p w14:paraId="1F9DE327" w14:textId="77777777" w:rsidR="00C5498E" w:rsidRPr="00B6047A" w:rsidRDefault="00C5498E" w:rsidP="00764CC3">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Tangata</w:t>
            </w:r>
          </w:p>
          <w:p w14:paraId="07200E09" w14:textId="77777777" w:rsidR="00C5498E" w:rsidRPr="00B6047A" w:rsidRDefault="00C5498E" w:rsidP="00764CC3">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(Article III)</w:t>
            </w:r>
          </w:p>
        </w:tc>
        <w:tc>
          <w:tcPr>
            <w:tcW w:w="1193" w:type="pct"/>
            <w:vMerge w:val="restart"/>
            <w:tcMar>
              <w:top w:w="0" w:type="dxa"/>
              <w:left w:w="108" w:type="dxa"/>
              <w:bottom w:w="0" w:type="dxa"/>
              <w:right w:w="108" w:type="dxa"/>
            </w:tcMar>
            <w:vAlign w:val="center"/>
          </w:tcPr>
          <w:p w14:paraId="73C731F4" w14:textId="77777777" w:rsidR="00C5498E" w:rsidRPr="00B6047A" w:rsidRDefault="00C5498E" w:rsidP="00764CC3">
            <w:pPr>
              <w:spacing w:after="200" w:line="280" w:lineRule="exact"/>
              <w:ind w:left="36" w:right="22"/>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Achieving equity in health research outcomes for Māori, enhancing the mana of people across their life course, and contributing to the overall health and wellbeing of Māori.</w:t>
            </w:r>
          </w:p>
        </w:tc>
        <w:tc>
          <w:tcPr>
            <w:tcW w:w="1482" w:type="pct"/>
          </w:tcPr>
          <w:p w14:paraId="3BD450CE" w14:textId="77777777" w:rsidR="00C5498E" w:rsidRPr="00B6047A" w:rsidRDefault="00C5498E" w:rsidP="00764CC3">
            <w:pPr>
              <w:ind w:right="133"/>
              <w:contextualSpacing/>
              <w:rPr>
                <w:rFonts w:ascii="Century Gothic" w:eastAsia="Century Gothic" w:hAnsi="Century Gothic" w:cs="Century Gothic"/>
                <w:position w:val="8"/>
                <w:sz w:val="16"/>
                <w:lang w:val="en-NZ"/>
              </w:rPr>
            </w:pPr>
            <w:r w:rsidRPr="00B6047A">
              <w:rPr>
                <w:rFonts w:ascii="Century Gothic" w:eastAsia="Century Gothic" w:hAnsi="Century Gothic" w:cs="Century Gothic"/>
                <w:sz w:val="20"/>
                <w:lang w:val="en-NZ"/>
              </w:rPr>
              <w:t>Enabling capability to be developed within Māori communities and researchers through involvement and research processes.</w:t>
            </w:r>
          </w:p>
        </w:tc>
        <w:tc>
          <w:tcPr>
            <w:tcW w:w="559" w:type="pct"/>
            <w:shd w:val="clear" w:color="auto" w:fill="FFFFAB"/>
            <w:vAlign w:val="center"/>
          </w:tcPr>
          <w:p w14:paraId="5B2CCFB8" w14:textId="77777777" w:rsidR="00C5498E" w:rsidRPr="00B6047A" w:rsidRDefault="00C5498E" w:rsidP="00764CC3">
            <w:pPr>
              <w:spacing w:after="200"/>
              <w:jc w:val="center"/>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1.2</w:t>
            </w:r>
          </w:p>
        </w:tc>
        <w:tc>
          <w:tcPr>
            <w:tcW w:w="597" w:type="pct"/>
            <w:shd w:val="clear" w:color="auto" w:fill="FFCB7D"/>
            <w:vAlign w:val="center"/>
          </w:tcPr>
          <w:p w14:paraId="61299A5C" w14:textId="77777777" w:rsidR="00C5498E" w:rsidRPr="00B6047A" w:rsidRDefault="00C5498E" w:rsidP="00764CC3">
            <w:pPr>
              <w:ind w:right="133"/>
              <w:contextualSpacing/>
              <w:jc w:val="center"/>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w:t>
            </w:r>
          </w:p>
        </w:tc>
        <w:tc>
          <w:tcPr>
            <w:tcW w:w="594" w:type="pct"/>
            <w:vAlign w:val="center"/>
          </w:tcPr>
          <w:p w14:paraId="1413B76E" w14:textId="77777777" w:rsidR="00C5498E" w:rsidRPr="00B6047A" w:rsidRDefault="00C5498E" w:rsidP="00764CC3">
            <w:pPr>
              <w:ind w:right="133"/>
              <w:contextualSpacing/>
              <w:jc w:val="center"/>
              <w:rPr>
                <w:rFonts w:ascii="Century Gothic" w:eastAsia="Century Gothic" w:hAnsi="Century Gothic" w:cs="Century Gothic"/>
                <w:sz w:val="20"/>
                <w:lang w:val="en-NZ"/>
              </w:rPr>
            </w:pPr>
          </w:p>
        </w:tc>
      </w:tr>
      <w:tr w:rsidR="00C5498E" w:rsidRPr="00B6047A" w14:paraId="7B107F5E" w14:textId="77777777" w:rsidTr="00764CC3">
        <w:tc>
          <w:tcPr>
            <w:tcW w:w="575" w:type="pct"/>
            <w:vMerge/>
            <w:tcMar>
              <w:top w:w="0" w:type="dxa"/>
              <w:left w:w="108" w:type="dxa"/>
              <w:bottom w:w="0" w:type="dxa"/>
              <w:right w:w="108" w:type="dxa"/>
            </w:tcMar>
            <w:vAlign w:val="center"/>
          </w:tcPr>
          <w:p w14:paraId="27D0D3A0" w14:textId="77777777" w:rsidR="00C5498E" w:rsidRPr="00B6047A" w:rsidRDefault="00C5498E" w:rsidP="00764CC3">
            <w:pPr>
              <w:spacing w:after="200" w:line="280" w:lineRule="exact"/>
              <w:ind w:left="35"/>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11535A60"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45BEBFA9"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capability is developed within Māori communities and researchers through involvement in research processes at all levels.</w:t>
            </w:r>
          </w:p>
        </w:tc>
        <w:tc>
          <w:tcPr>
            <w:tcW w:w="559" w:type="pct"/>
            <w:vAlign w:val="center"/>
          </w:tcPr>
          <w:p w14:paraId="41CB855F"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tc>
        <w:tc>
          <w:tcPr>
            <w:tcW w:w="597" w:type="pct"/>
            <w:vAlign w:val="center"/>
          </w:tcPr>
          <w:p w14:paraId="37C8523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tc>
        <w:tc>
          <w:tcPr>
            <w:tcW w:w="594" w:type="pct"/>
            <w:shd w:val="clear" w:color="auto" w:fill="FFCCCC"/>
            <w:vAlign w:val="center"/>
          </w:tcPr>
          <w:p w14:paraId="1B071DD7"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7761835D" w14:textId="77777777" w:rsidTr="00764CC3">
        <w:tc>
          <w:tcPr>
            <w:tcW w:w="575" w:type="pct"/>
            <w:vMerge/>
            <w:tcMar>
              <w:top w:w="0" w:type="dxa"/>
              <w:left w:w="108" w:type="dxa"/>
              <w:bottom w:w="0" w:type="dxa"/>
              <w:right w:w="108" w:type="dxa"/>
            </w:tcMar>
            <w:vAlign w:val="center"/>
          </w:tcPr>
          <w:p w14:paraId="42F3372E" w14:textId="77777777" w:rsidR="00C5498E" w:rsidRPr="00B6047A" w:rsidRDefault="00C5498E" w:rsidP="00764CC3">
            <w:pPr>
              <w:spacing w:after="200" w:line="280" w:lineRule="exact"/>
              <w:ind w:left="35"/>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0798A745"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0655C774"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the proportion of health research funding and delivery is consistent with equitable outcomes.</w:t>
            </w:r>
          </w:p>
        </w:tc>
        <w:tc>
          <w:tcPr>
            <w:tcW w:w="559" w:type="pct"/>
            <w:shd w:val="clear" w:color="auto" w:fill="FFFFAB"/>
            <w:vAlign w:val="center"/>
          </w:tcPr>
          <w:p w14:paraId="23D16843"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1.1</w:t>
            </w:r>
          </w:p>
        </w:tc>
        <w:tc>
          <w:tcPr>
            <w:tcW w:w="597" w:type="pct"/>
            <w:shd w:val="clear" w:color="auto" w:fill="FFCB7D"/>
            <w:vAlign w:val="center"/>
          </w:tcPr>
          <w:p w14:paraId="339991E1"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w:t>
            </w:r>
          </w:p>
        </w:tc>
        <w:tc>
          <w:tcPr>
            <w:tcW w:w="594" w:type="pct"/>
            <w:shd w:val="clear" w:color="auto" w:fill="FFCCCC"/>
            <w:vAlign w:val="center"/>
          </w:tcPr>
          <w:p w14:paraId="257E3FC7"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C5498E" w:rsidRPr="00B6047A" w14:paraId="106BB52F" w14:textId="77777777" w:rsidTr="00764CC3">
        <w:trPr>
          <w:trHeight w:val="1425"/>
        </w:trPr>
        <w:tc>
          <w:tcPr>
            <w:tcW w:w="575" w:type="pct"/>
            <w:vMerge w:val="restart"/>
            <w:tcMar>
              <w:top w:w="0" w:type="dxa"/>
              <w:left w:w="108" w:type="dxa"/>
              <w:bottom w:w="0" w:type="dxa"/>
              <w:right w:w="108" w:type="dxa"/>
            </w:tcMar>
            <w:vAlign w:val="center"/>
          </w:tcPr>
          <w:p w14:paraId="72F99153" w14:textId="77777777" w:rsidR="00C5498E" w:rsidRPr="00B6047A" w:rsidRDefault="00C5498E" w:rsidP="00764CC3">
            <w:pPr>
              <w:spacing w:after="200" w:line="280" w:lineRule="exact"/>
              <w:ind w:left="35"/>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t>Mana Māori</w:t>
            </w:r>
          </w:p>
          <w:p w14:paraId="6B4917CF" w14:textId="77777777" w:rsidR="00C5498E" w:rsidRPr="00B6047A" w:rsidRDefault="00C5498E" w:rsidP="00764CC3">
            <w:pPr>
              <w:spacing w:after="200" w:line="280" w:lineRule="exact"/>
              <w:ind w:right="-105"/>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(Declaration)</w:t>
            </w:r>
          </w:p>
        </w:tc>
        <w:tc>
          <w:tcPr>
            <w:tcW w:w="1193" w:type="pct"/>
            <w:vMerge w:val="restart"/>
            <w:tcMar>
              <w:top w:w="0" w:type="dxa"/>
              <w:left w:w="108" w:type="dxa"/>
              <w:bottom w:w="0" w:type="dxa"/>
              <w:right w:w="108" w:type="dxa"/>
            </w:tcMar>
            <w:vAlign w:val="center"/>
          </w:tcPr>
          <w:p w14:paraId="6E23475F" w14:textId="77777777" w:rsidR="00C5498E" w:rsidRPr="00B6047A" w:rsidRDefault="00C5498E" w:rsidP="00764CC3">
            <w:pPr>
              <w:spacing w:after="200" w:line="280" w:lineRule="exact"/>
              <w:ind w:left="36" w:right="22"/>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Enabling ritenga Māori (Māori customary rituals), which are framed by </w:t>
            </w:r>
            <w:r w:rsidRPr="00B6047A">
              <w:rPr>
                <w:rFonts w:ascii="Century Gothic" w:eastAsia="Century Gothic" w:hAnsi="Century Gothic" w:cs="Century Gothic"/>
                <w:sz w:val="20"/>
                <w:lang w:val="en-NZ"/>
              </w:rPr>
              <w:pgNum/>
            </w:r>
            <w:r w:rsidRPr="00B6047A">
              <w:rPr>
                <w:rFonts w:ascii="Century Gothic" w:eastAsia="Century Gothic" w:hAnsi="Century Gothic" w:cs="Century Gothic"/>
                <w:sz w:val="20"/>
                <w:lang w:val="en-NZ"/>
              </w:rPr>
              <w:t>ea o Māori (the Māori world), enacted through tikanga Māori (Māori philosophy and customary practices) and encapsulated within mātauranga Māori (Māori knowledge).</w:t>
            </w:r>
          </w:p>
        </w:tc>
        <w:tc>
          <w:tcPr>
            <w:tcW w:w="1482" w:type="pct"/>
          </w:tcPr>
          <w:p w14:paraId="5A760C5C"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Articulation and requirements for ritenga Māori, tikanga Māori, and mātauranga Māori are within contracts and research engagement practices. </w:t>
            </w:r>
          </w:p>
        </w:tc>
        <w:tc>
          <w:tcPr>
            <w:tcW w:w="559" w:type="pct"/>
            <w:vAlign w:val="center"/>
          </w:tcPr>
          <w:p w14:paraId="7DC50135" w14:textId="77777777" w:rsidR="00C5498E" w:rsidRPr="00B6047A" w:rsidRDefault="00C5498E" w:rsidP="00764CC3">
            <w:pPr>
              <w:spacing w:after="200"/>
              <w:jc w:val="center"/>
              <w:rPr>
                <w:rFonts w:ascii="Century Gothic" w:eastAsia="Century Gothic" w:hAnsi="Century Gothic" w:cs="Century Gothic"/>
                <w:sz w:val="20"/>
                <w:lang w:val="en-NZ"/>
              </w:rPr>
            </w:pPr>
          </w:p>
        </w:tc>
        <w:tc>
          <w:tcPr>
            <w:tcW w:w="597" w:type="pct"/>
            <w:shd w:val="clear" w:color="auto" w:fill="FFCB7D"/>
            <w:vAlign w:val="center"/>
          </w:tcPr>
          <w:p w14:paraId="09CC3BA7" w14:textId="77777777" w:rsidR="00C5498E" w:rsidRPr="00B6047A" w:rsidRDefault="00C5498E" w:rsidP="00764CC3">
            <w:pPr>
              <w:ind w:right="133"/>
              <w:contextualSpacing/>
              <w:jc w:val="center"/>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7B1930A2" w14:textId="77777777" w:rsidR="00C5498E" w:rsidRPr="00B6047A" w:rsidRDefault="00C5498E" w:rsidP="00764CC3">
            <w:pPr>
              <w:ind w:right="133"/>
              <w:contextualSpacing/>
              <w:jc w:val="center"/>
              <w:rPr>
                <w:rFonts w:ascii="Century Gothic" w:eastAsia="Century Gothic" w:hAnsi="Century Gothic" w:cs="Century Gothic"/>
                <w:sz w:val="20"/>
                <w:lang w:val="en-NZ"/>
              </w:rPr>
            </w:pPr>
            <w:r w:rsidRPr="00B6047A">
              <w:rPr>
                <w:rFonts w:ascii="Century Gothic" w:eastAsia="Century Gothic" w:hAnsi="Century Gothic" w:cs="Century Gothic"/>
                <w:color w:val="202124"/>
                <w:sz w:val="20"/>
                <w:lang w:val="en-NZ"/>
              </w:rPr>
              <w:t>3.1</w:t>
            </w:r>
          </w:p>
        </w:tc>
      </w:tr>
      <w:tr w:rsidR="00C5498E" w:rsidRPr="00B6047A" w14:paraId="56E800A8" w14:textId="77777777" w:rsidTr="00764CC3">
        <w:trPr>
          <w:trHeight w:val="1223"/>
        </w:trPr>
        <w:tc>
          <w:tcPr>
            <w:tcW w:w="575" w:type="pct"/>
            <w:vMerge/>
            <w:tcMar>
              <w:top w:w="0" w:type="dxa"/>
              <w:left w:w="108" w:type="dxa"/>
              <w:bottom w:w="0" w:type="dxa"/>
              <w:right w:w="108" w:type="dxa"/>
            </w:tcMar>
            <w:vAlign w:val="center"/>
          </w:tcPr>
          <w:p w14:paraId="0F128925"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193" w:type="pct"/>
            <w:vMerge/>
            <w:tcMar>
              <w:top w:w="0" w:type="dxa"/>
              <w:left w:w="108" w:type="dxa"/>
              <w:bottom w:w="0" w:type="dxa"/>
              <w:right w:w="108" w:type="dxa"/>
            </w:tcMar>
            <w:vAlign w:val="center"/>
          </w:tcPr>
          <w:p w14:paraId="55240557" w14:textId="77777777" w:rsidR="00C5498E" w:rsidRPr="00B6047A" w:rsidRDefault="00C5498E" w:rsidP="00764CC3">
            <w:pPr>
              <w:spacing w:after="200" w:line="280" w:lineRule="exact"/>
              <w:rPr>
                <w:rFonts w:ascii="Century Gothic" w:eastAsia="MS Gothic" w:hAnsi="Century Gothic"/>
                <w:sz w:val="20"/>
                <w:szCs w:val="24"/>
                <w:lang w:val="en-NZ"/>
              </w:rPr>
            </w:pPr>
          </w:p>
        </w:tc>
        <w:tc>
          <w:tcPr>
            <w:tcW w:w="1482" w:type="pct"/>
          </w:tcPr>
          <w:p w14:paraId="61EDBD96" w14:textId="77777777" w:rsidR="00C5498E" w:rsidRPr="00B6047A" w:rsidRDefault="00C5498E" w:rsidP="00764CC3">
            <w:pPr>
              <w:ind w:right="133"/>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How mana atua will be expressed by Māori is articulated within the overall framework.</w:t>
            </w:r>
          </w:p>
        </w:tc>
        <w:tc>
          <w:tcPr>
            <w:tcW w:w="559" w:type="pct"/>
            <w:vAlign w:val="center"/>
          </w:tcPr>
          <w:p w14:paraId="788EFB4E" w14:textId="77777777" w:rsidR="00C5498E" w:rsidRPr="00B6047A" w:rsidRDefault="00C5498E" w:rsidP="00764CC3">
            <w:pPr>
              <w:spacing w:after="200" w:line="280" w:lineRule="exact"/>
              <w:jc w:val="center"/>
              <w:rPr>
                <w:rFonts w:ascii="Century Gothic" w:eastAsia="Century Gothic" w:hAnsi="Century Gothic" w:cs="Century Gothic"/>
                <w:sz w:val="20"/>
                <w:lang w:val="en-NZ"/>
              </w:rPr>
            </w:pPr>
          </w:p>
        </w:tc>
        <w:tc>
          <w:tcPr>
            <w:tcW w:w="597" w:type="pct"/>
            <w:shd w:val="clear" w:color="auto" w:fill="FFCB7D"/>
            <w:vAlign w:val="center"/>
          </w:tcPr>
          <w:p w14:paraId="204BDB0B"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2.2</w:t>
            </w:r>
          </w:p>
        </w:tc>
        <w:tc>
          <w:tcPr>
            <w:tcW w:w="594" w:type="pct"/>
            <w:shd w:val="clear" w:color="auto" w:fill="FFCCCC"/>
            <w:vAlign w:val="center"/>
          </w:tcPr>
          <w:p w14:paraId="191F0AA4"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bl>
    <w:p w14:paraId="1D6E0706" w14:textId="77777777" w:rsidR="00C5498E" w:rsidRPr="00B6047A" w:rsidRDefault="00C5498E" w:rsidP="00C5498E">
      <w:pPr>
        <w:spacing w:after="120" w:line="280" w:lineRule="exact"/>
        <w:jc w:val="both"/>
        <w:rPr>
          <w:rFonts w:ascii="Century Gothic" w:eastAsia="Century Gothic" w:hAnsi="Century Gothic" w:cs="Century Gothic"/>
          <w:sz w:val="20"/>
          <w:lang w:val="en-GB"/>
        </w:rPr>
      </w:pPr>
      <w:r w:rsidRPr="00B6047A">
        <w:rPr>
          <w:rFonts w:ascii="Century Gothic" w:eastAsia="Century Gothic" w:hAnsi="Century Gothic" w:cs="Century Gothic"/>
          <w:sz w:val="20"/>
          <w:lang w:val="en-GB"/>
        </w:rPr>
        <w:t> </w:t>
      </w:r>
    </w:p>
    <w:p w14:paraId="21102A6D" w14:textId="77777777" w:rsidR="00C5498E" w:rsidRPr="00B6047A" w:rsidRDefault="00C5498E" w:rsidP="00C5498E">
      <w:pPr>
        <w:spacing w:after="120" w:line="280" w:lineRule="exact"/>
        <w:jc w:val="both"/>
        <w:rPr>
          <w:rFonts w:ascii="Century Gothic" w:eastAsia="Century Gothic" w:hAnsi="Century Gothic" w:cs="Century Gothic"/>
          <w:sz w:val="20"/>
          <w:lang w:val="en-GB"/>
        </w:rPr>
      </w:pPr>
    </w:p>
    <w:p w14:paraId="043868C0" w14:textId="77777777" w:rsidR="00C5498E" w:rsidRPr="00B6047A" w:rsidRDefault="00C5498E" w:rsidP="00C5498E">
      <w:pPr>
        <w:spacing w:after="200" w:line="280" w:lineRule="exact"/>
        <w:ind w:left="360"/>
        <w:rPr>
          <w:rFonts w:ascii="Century Gothic" w:eastAsia="Century Gothic" w:hAnsi="Century Gothic" w:cs="Century Gothic"/>
          <w:sz w:val="20"/>
          <w:lang w:val="en-NZ"/>
        </w:rPr>
      </w:pPr>
      <w:r w:rsidRPr="00B6047A">
        <w:rPr>
          <w:rFonts w:ascii="Century Gothic" w:eastAsia="Century Gothic" w:hAnsi="Century Gothic" w:cs="Century Gothic"/>
          <w:sz w:val="20"/>
          <w:lang w:val="en-GB"/>
        </w:rPr>
        <w:lastRenderedPageBreak/>
        <w:t>1.1 There are Māori voices involved in research proposal assessment and priority setting; in most cases this will be sufficient to fulfil this requirement.</w:t>
      </w:r>
    </w:p>
    <w:p w14:paraId="0317365D" w14:textId="77777777" w:rsidR="00C5498E" w:rsidRPr="00B6047A" w:rsidRDefault="00C5498E" w:rsidP="00C5498E">
      <w:pPr>
        <w:spacing w:after="200" w:line="280" w:lineRule="exact"/>
        <w:ind w:left="360"/>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1.2  Lead researchers are encouraged, where possible, to consider employing Māori researchers or developing Māori capability.</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There is no obligation to meet this requirement.</w:t>
      </w:r>
    </w:p>
    <w:p w14:paraId="2C8D527F" w14:textId="77777777" w:rsidR="00C5498E" w:rsidRPr="00B6047A" w:rsidRDefault="00C5498E" w:rsidP="00C5498E">
      <w:pPr>
        <w:spacing w:after="200" w:line="280" w:lineRule="exact"/>
        <w:ind w:left="360"/>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2.1  The Kaiārahi position will advise on (a) the necessary considerations in the research proposal (these considerations can be the subject of consultation with research leads); and (b) a pathway to ensure that Māori voices are equally heard in governance and decision-making settings.</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To some extent, this is covered by having Māori voices in research assessment.</w:t>
      </w:r>
    </w:p>
    <w:p w14:paraId="44A29B45" w14:textId="77777777" w:rsidR="00C5498E" w:rsidRPr="00B6047A" w:rsidRDefault="00C5498E" w:rsidP="00C5498E">
      <w:pPr>
        <w:spacing w:after="200" w:line="280" w:lineRule="exact"/>
        <w:ind w:left="360"/>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2.2  Engaging both parties can bring to light the protocols and kawa needed.</w:t>
      </w:r>
    </w:p>
    <w:p w14:paraId="2D2B7B56" w14:textId="77777777" w:rsidR="00C5498E" w:rsidRPr="00B6047A" w:rsidRDefault="00C5498E" w:rsidP="00C5498E">
      <w:pPr>
        <w:spacing w:after="200" w:line="280" w:lineRule="exact"/>
        <w:ind w:left="360"/>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  Specific groups or individuals who can work with researchers need to be identified.</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Consideration for renumeration for involvement should be given.</w:t>
      </w:r>
    </w:p>
    <w:p w14:paraId="782760D7" w14:textId="77777777" w:rsidR="00C5498E" w:rsidRPr="00B6047A" w:rsidRDefault="00C5498E" w:rsidP="00C5498E">
      <w:pPr>
        <w:spacing w:after="200" w:line="280" w:lineRule="exact"/>
        <w:ind w:left="360"/>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3.1  Refer to diagram ‘End to End Research Process’ in Appendix 3 for guidance.</w:t>
      </w:r>
    </w:p>
    <w:p w14:paraId="19BB06B4" w14:textId="77777777" w:rsidR="00C5498E" w:rsidRDefault="00C5498E" w:rsidP="00C5498E">
      <w:pPr>
        <w:rPr>
          <w:rFonts w:ascii="Century Gothic" w:eastAsia="Century Gothic" w:hAnsi="Century Gothic" w:cs="Century Gothic"/>
          <w:b/>
          <w:bCs/>
          <w:sz w:val="20"/>
          <w:lang w:val="en-NZ"/>
        </w:rPr>
      </w:pPr>
      <w:r>
        <w:rPr>
          <w:rFonts w:ascii="Century Gothic" w:eastAsia="Century Gothic" w:hAnsi="Century Gothic" w:cs="Century Gothic"/>
          <w:b/>
          <w:bCs/>
          <w:sz w:val="20"/>
          <w:lang w:val="en-NZ"/>
        </w:rPr>
        <w:br w:type="page"/>
      </w:r>
    </w:p>
    <w:p w14:paraId="36FCDEC3"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b/>
          <w:bCs/>
          <w:sz w:val="20"/>
          <w:lang w:val="en-NZ"/>
        </w:rPr>
        <w:lastRenderedPageBreak/>
        <w:t xml:space="preserve">Table Three: </w:t>
      </w:r>
      <w:r w:rsidRPr="00B6047A">
        <w:rPr>
          <w:rFonts w:ascii="Century Gothic" w:eastAsia="Century Gothic" w:hAnsi="Century Gothic" w:cs="Century Gothic"/>
          <w:sz w:val="20"/>
          <w:lang w:val="en-GB"/>
        </w:rPr>
        <w:t xml:space="preserve">The five </w:t>
      </w:r>
      <w:r w:rsidRPr="00B6047A">
        <w:rPr>
          <w:rFonts w:ascii="Century Gothic" w:eastAsia="Century Gothic" w:hAnsi="Century Gothic" w:cs="Century Gothic"/>
          <w:b/>
          <w:bCs/>
          <w:sz w:val="20"/>
          <w:lang w:val="en-GB"/>
        </w:rPr>
        <w:t>Tiriti principles</w:t>
      </w:r>
      <w:r w:rsidRPr="00B6047A">
        <w:rPr>
          <w:rFonts w:ascii="Century Gothic" w:eastAsia="Century Gothic" w:hAnsi="Century Gothic" w:cs="Century Gothic"/>
          <w:sz w:val="20"/>
          <w:lang w:val="en-GB"/>
        </w:rPr>
        <w:t xml:space="preserve"> can be further interpreted.</w:t>
      </w:r>
      <w:r>
        <w:rPr>
          <w:rFonts w:ascii="Century Gothic" w:eastAsia="Century Gothic" w:hAnsi="Century Gothic" w:cs="Century Gothic"/>
          <w:sz w:val="20"/>
          <w:lang w:val="en-GB"/>
        </w:rPr>
        <w:t xml:space="preserve"> </w:t>
      </w:r>
      <w:r w:rsidRPr="00B6047A">
        <w:rPr>
          <w:rFonts w:ascii="Century Gothic" w:eastAsia="Century Gothic" w:hAnsi="Century Gothic" w:cs="Century Gothic"/>
          <w:sz w:val="20"/>
          <w:lang w:val="en-GB"/>
        </w:rPr>
        <w:t xml:space="preserve"> </w:t>
      </w:r>
      <w:r w:rsidRPr="00B6047A">
        <w:rPr>
          <w:rFonts w:ascii="Century Gothic" w:eastAsia="Century Gothic" w:hAnsi="Century Gothic" w:cs="Century Gothic"/>
          <w:color w:val="000000"/>
          <w:sz w:val="20"/>
          <w:lang w:val="en-NZ"/>
        </w:rPr>
        <w:t>An explanation of numbers 1.1- 3.1 can be found below Table 2.</w:t>
      </w:r>
      <w:r>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color w:val="000000"/>
          <w:sz w:val="20"/>
          <w:lang w:val="en-NZ"/>
        </w:rPr>
        <w:t xml:space="preserve"> </w:t>
      </w:r>
      <w:r w:rsidRPr="00B6047A">
        <w:rPr>
          <w:rFonts w:ascii="Century Gothic" w:eastAsia="Century Gothic" w:hAnsi="Century Gothic" w:cs="Century Gothic"/>
          <w:sz w:val="20"/>
          <w:lang w:val="en-NZ"/>
        </w:rPr>
        <w:t>The following colours indicate the requirement level in each instance:</w:t>
      </w:r>
    </w:p>
    <w:tbl>
      <w:tblPr>
        <w:tblStyle w:val="TableGrid1"/>
        <w:tblpPr w:leftFromText="180" w:rightFromText="180" w:vertAnchor="text" w:horzAnchor="margin" w:tblpXSpec="center" w:tblpY="52"/>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151"/>
        <w:gridCol w:w="400"/>
        <w:gridCol w:w="851"/>
        <w:gridCol w:w="1984"/>
        <w:gridCol w:w="426"/>
        <w:gridCol w:w="850"/>
        <w:gridCol w:w="2977"/>
      </w:tblGrid>
      <w:tr w:rsidR="00C5498E" w:rsidRPr="00B6047A" w14:paraId="74D96329" w14:textId="77777777" w:rsidTr="00764CC3">
        <w:trPr>
          <w:trHeight w:val="274"/>
        </w:trPr>
        <w:tc>
          <w:tcPr>
            <w:tcW w:w="846" w:type="dxa"/>
            <w:shd w:val="clear" w:color="auto" w:fill="FFFFAB"/>
          </w:tcPr>
          <w:p w14:paraId="1DFAC199" w14:textId="77777777" w:rsidR="00C5498E" w:rsidRPr="00B6047A" w:rsidRDefault="00C5498E" w:rsidP="00764CC3">
            <w:pPr>
              <w:spacing w:after="120" w:line="280" w:lineRule="exact"/>
              <w:jc w:val="both"/>
              <w:rPr>
                <w:rFonts w:cs="Century Gothic"/>
                <w:sz w:val="20"/>
                <w:lang w:val="en-GB"/>
              </w:rPr>
            </w:pPr>
          </w:p>
        </w:tc>
        <w:tc>
          <w:tcPr>
            <w:tcW w:w="2151" w:type="dxa"/>
          </w:tcPr>
          <w:p w14:paraId="37E1CD7E" w14:textId="77777777" w:rsidR="00C5498E" w:rsidRPr="00B6047A" w:rsidRDefault="00C5498E" w:rsidP="00764CC3">
            <w:pPr>
              <w:spacing w:after="120" w:line="280" w:lineRule="exact"/>
              <w:jc w:val="both"/>
              <w:rPr>
                <w:rFonts w:cs="Century Gothic"/>
                <w:sz w:val="20"/>
                <w:lang w:val="en-GB"/>
              </w:rPr>
            </w:pPr>
            <w:r w:rsidRPr="00B6047A">
              <w:rPr>
                <w:rFonts w:cs="Century Gothic"/>
                <w:sz w:val="20"/>
                <w:lang w:val="en-GB"/>
              </w:rPr>
              <w:t>Considered</w:t>
            </w:r>
          </w:p>
        </w:tc>
        <w:tc>
          <w:tcPr>
            <w:tcW w:w="400" w:type="dxa"/>
          </w:tcPr>
          <w:p w14:paraId="6C953C7A" w14:textId="77777777" w:rsidR="00C5498E" w:rsidRPr="00B6047A" w:rsidRDefault="00C5498E" w:rsidP="00764CC3">
            <w:pPr>
              <w:spacing w:after="120" w:line="280" w:lineRule="exact"/>
              <w:jc w:val="both"/>
              <w:rPr>
                <w:rFonts w:cs="Century Gothic"/>
                <w:sz w:val="20"/>
                <w:lang w:val="en-GB"/>
              </w:rPr>
            </w:pPr>
          </w:p>
        </w:tc>
        <w:tc>
          <w:tcPr>
            <w:tcW w:w="851" w:type="dxa"/>
            <w:shd w:val="clear" w:color="auto" w:fill="FFCB7D"/>
          </w:tcPr>
          <w:p w14:paraId="343E0F21" w14:textId="77777777" w:rsidR="00C5498E" w:rsidRPr="00B6047A" w:rsidRDefault="00C5498E" w:rsidP="00764CC3">
            <w:pPr>
              <w:spacing w:after="120" w:line="280" w:lineRule="exact"/>
              <w:jc w:val="both"/>
              <w:rPr>
                <w:rFonts w:cs="Century Gothic"/>
                <w:sz w:val="20"/>
                <w:lang w:val="en-GB"/>
              </w:rPr>
            </w:pPr>
          </w:p>
        </w:tc>
        <w:tc>
          <w:tcPr>
            <w:tcW w:w="1984" w:type="dxa"/>
          </w:tcPr>
          <w:p w14:paraId="4BD733BD" w14:textId="77777777" w:rsidR="00C5498E" w:rsidRPr="00B6047A" w:rsidRDefault="00C5498E" w:rsidP="00764CC3">
            <w:pPr>
              <w:spacing w:after="120" w:line="280" w:lineRule="exact"/>
              <w:jc w:val="both"/>
              <w:rPr>
                <w:rFonts w:cs="Century Gothic"/>
                <w:sz w:val="20"/>
                <w:lang w:val="en-GB"/>
              </w:rPr>
            </w:pPr>
            <w:r w:rsidRPr="00B6047A">
              <w:rPr>
                <w:rFonts w:cs="Century Gothic"/>
                <w:sz w:val="20"/>
                <w:lang w:val="en-GB"/>
              </w:rPr>
              <w:t>Action required</w:t>
            </w:r>
          </w:p>
        </w:tc>
        <w:tc>
          <w:tcPr>
            <w:tcW w:w="426" w:type="dxa"/>
          </w:tcPr>
          <w:p w14:paraId="19E8AFD5" w14:textId="77777777" w:rsidR="00C5498E" w:rsidRPr="00B6047A" w:rsidRDefault="00C5498E" w:rsidP="00764CC3">
            <w:pPr>
              <w:spacing w:after="120" w:line="280" w:lineRule="exact"/>
              <w:jc w:val="both"/>
              <w:rPr>
                <w:rFonts w:cs="Century Gothic"/>
                <w:sz w:val="20"/>
                <w:lang w:val="en-GB"/>
              </w:rPr>
            </w:pPr>
          </w:p>
        </w:tc>
        <w:tc>
          <w:tcPr>
            <w:tcW w:w="850" w:type="dxa"/>
            <w:shd w:val="clear" w:color="auto" w:fill="FFCCCC"/>
          </w:tcPr>
          <w:p w14:paraId="0EAE2D83" w14:textId="77777777" w:rsidR="00C5498E" w:rsidRPr="00B6047A" w:rsidRDefault="00C5498E" w:rsidP="00764CC3">
            <w:pPr>
              <w:spacing w:after="120" w:line="280" w:lineRule="exact"/>
              <w:jc w:val="both"/>
              <w:rPr>
                <w:rFonts w:cs="Century Gothic"/>
                <w:sz w:val="20"/>
                <w:lang w:val="en-GB"/>
              </w:rPr>
            </w:pPr>
          </w:p>
        </w:tc>
        <w:tc>
          <w:tcPr>
            <w:tcW w:w="2977" w:type="dxa"/>
          </w:tcPr>
          <w:p w14:paraId="4B14B7BB" w14:textId="77777777" w:rsidR="00C5498E" w:rsidRPr="00B6047A" w:rsidRDefault="00C5498E" w:rsidP="00764CC3">
            <w:pPr>
              <w:spacing w:after="120" w:line="280" w:lineRule="exact"/>
              <w:jc w:val="both"/>
              <w:rPr>
                <w:rFonts w:cs="Century Gothic"/>
                <w:sz w:val="20"/>
                <w:lang w:val="en-GB"/>
              </w:rPr>
            </w:pPr>
            <w:r w:rsidRPr="00B6047A">
              <w:rPr>
                <w:rFonts w:cs="Century Gothic"/>
                <w:sz w:val="20"/>
                <w:lang w:val="en-GB"/>
              </w:rPr>
              <w:t>Mandatory requirement</w:t>
            </w:r>
          </w:p>
        </w:tc>
      </w:tr>
    </w:tbl>
    <w:p w14:paraId="52BE211E" w14:textId="77777777" w:rsidR="00C5498E" w:rsidRPr="00B6047A" w:rsidRDefault="00C5498E" w:rsidP="00C5498E">
      <w:pPr>
        <w:spacing w:after="120" w:line="280" w:lineRule="exact"/>
        <w:rPr>
          <w:rFonts w:ascii="Century Gothic" w:eastAsia="Century Gothic" w:hAnsi="Century Gothic" w:cs="Century Gothic"/>
          <w:sz w:val="20"/>
          <w:lang w:val="en-NZ"/>
        </w:rPr>
      </w:pPr>
    </w:p>
    <w:p w14:paraId="6309543D" w14:textId="77777777" w:rsidR="00C5498E" w:rsidRPr="00B6047A" w:rsidRDefault="00C5498E" w:rsidP="00C5498E">
      <w:pPr>
        <w:spacing w:after="200" w:line="280" w:lineRule="exact"/>
        <w:jc w:val="both"/>
        <w:rPr>
          <w:rFonts w:ascii="Century Gothic" w:eastAsia="Century Gothic" w:hAnsi="Century Gothic" w:cs="Century Gothic"/>
          <w:sz w:val="20"/>
          <w:lang w:val="en-GB"/>
        </w:rPr>
      </w:pPr>
      <w:r w:rsidRPr="00B6047A">
        <w:rPr>
          <w:rFonts w:ascii="Century Gothic" w:eastAsia="Century Gothic" w:hAnsi="Century Gothic" w:cs="Century Gothic"/>
          <w:sz w:val="20"/>
          <w:lang w:val="en-GB"/>
        </w:rPr>
        <w:t xml:space="preserve"> </w:t>
      </w:r>
    </w:p>
    <w:tbl>
      <w:tblPr>
        <w:tblStyle w:val="TableGrid11"/>
        <w:tblW w:w="5000" w:type="pct"/>
        <w:tblLook w:val="04A0" w:firstRow="1" w:lastRow="0" w:firstColumn="1" w:lastColumn="0" w:noHBand="0" w:noVBand="1"/>
      </w:tblPr>
      <w:tblGrid>
        <w:gridCol w:w="1729"/>
        <w:gridCol w:w="3157"/>
        <w:gridCol w:w="4530"/>
        <w:gridCol w:w="1615"/>
        <w:gridCol w:w="1518"/>
        <w:gridCol w:w="1400"/>
      </w:tblGrid>
      <w:tr w:rsidR="00C5498E" w:rsidRPr="00B6047A" w14:paraId="2810DDF8" w14:textId="77777777" w:rsidTr="00764CC3">
        <w:trPr>
          <w:trHeight w:val="1485"/>
        </w:trPr>
        <w:tc>
          <w:tcPr>
            <w:tcW w:w="594" w:type="pct"/>
            <w:shd w:val="clear" w:color="auto" w:fill="B6DEE9"/>
            <w:vAlign w:val="center"/>
          </w:tcPr>
          <w:p w14:paraId="77F187EA"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Principles</w:t>
            </w:r>
          </w:p>
        </w:tc>
        <w:tc>
          <w:tcPr>
            <w:tcW w:w="1137" w:type="pct"/>
            <w:shd w:val="clear" w:color="auto" w:fill="B6DEE9"/>
            <w:vAlign w:val="center"/>
          </w:tcPr>
          <w:p w14:paraId="07F82175"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Interpretation in Health Research Space</w:t>
            </w:r>
          </w:p>
        </w:tc>
        <w:tc>
          <w:tcPr>
            <w:tcW w:w="1629" w:type="pct"/>
            <w:shd w:val="clear" w:color="auto" w:fill="B6DEE9"/>
            <w:vAlign w:val="center"/>
          </w:tcPr>
          <w:p w14:paraId="55284C4F"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Enabler</w:t>
            </w:r>
          </w:p>
        </w:tc>
        <w:tc>
          <w:tcPr>
            <w:tcW w:w="584" w:type="pct"/>
            <w:shd w:val="clear" w:color="auto" w:fill="B6DEE9"/>
          </w:tcPr>
          <w:p w14:paraId="0604657E" w14:textId="77777777" w:rsidR="00C5498E" w:rsidRPr="00B6047A" w:rsidRDefault="00C5498E" w:rsidP="00764CC3">
            <w:pPr>
              <w:spacing w:after="200" w:line="280" w:lineRule="exact"/>
              <w:ind w:left="-110" w:right="-115"/>
              <w:jc w:val="center"/>
              <w:rPr>
                <w:rFonts w:ascii="Century Gothic" w:eastAsia="Century Gothic" w:hAnsi="Century Gothic" w:cs="Century Gothic"/>
                <w:b/>
                <w:bCs/>
                <w:sz w:val="18"/>
                <w:szCs w:val="18"/>
                <w:lang w:val="en-NZ"/>
              </w:rPr>
            </w:pPr>
            <w:r w:rsidRPr="00B6047A">
              <w:rPr>
                <w:rFonts w:ascii="Century Gothic" w:eastAsia="Century Gothic" w:hAnsi="Century Gothic" w:cs="Century Gothic"/>
                <w:b/>
                <w:bCs/>
                <w:sz w:val="20"/>
                <w:lang w:val="en-NZ"/>
              </w:rPr>
              <w:t>A. Research of relevance to all peoples</w:t>
            </w:r>
          </w:p>
        </w:tc>
        <w:tc>
          <w:tcPr>
            <w:tcW w:w="549" w:type="pct"/>
            <w:shd w:val="clear" w:color="auto" w:fill="B6DEE9"/>
          </w:tcPr>
          <w:p w14:paraId="71B650BD" w14:textId="77777777" w:rsidR="00C5498E" w:rsidRPr="00B6047A" w:rsidRDefault="00C5498E" w:rsidP="00764CC3">
            <w:pPr>
              <w:spacing w:after="200" w:line="280" w:lineRule="exact"/>
              <w:ind w:left="-109" w:right="-108"/>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B Research specifically relevant to Māori or Research involving Māori</w:t>
            </w:r>
          </w:p>
        </w:tc>
        <w:tc>
          <w:tcPr>
            <w:tcW w:w="507" w:type="pct"/>
            <w:shd w:val="clear" w:color="auto" w:fill="B6DEE9"/>
          </w:tcPr>
          <w:p w14:paraId="7A4444D0"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C Māori-centred research</w:t>
            </w:r>
            <w:r w:rsidRPr="00B6047A">
              <w:rPr>
                <w:rFonts w:ascii="Century Gothic" w:eastAsia="Century Gothic" w:hAnsi="Century Gothic" w:cs="Century Gothic"/>
                <w:b/>
                <w:bCs/>
                <w:sz w:val="20"/>
                <w:lang w:val="en-NZ"/>
              </w:rPr>
              <w:br/>
              <w:t>or Kaupapa Māori research</w:t>
            </w:r>
          </w:p>
        </w:tc>
      </w:tr>
      <w:tr w:rsidR="00C5498E" w:rsidRPr="00B6047A" w14:paraId="59F13B4D" w14:textId="77777777" w:rsidTr="00764CC3">
        <w:tc>
          <w:tcPr>
            <w:tcW w:w="594" w:type="pct"/>
            <w:vMerge w:val="restart"/>
          </w:tcPr>
          <w:p w14:paraId="2A20370E"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30ECE443"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0AFD9F75"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3EDAF910"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Tino Rangatiratanga</w:t>
            </w:r>
          </w:p>
        </w:tc>
        <w:tc>
          <w:tcPr>
            <w:tcW w:w="1137" w:type="pct"/>
            <w:vMerge w:val="restart"/>
            <w:vAlign w:val="center"/>
          </w:tcPr>
          <w:p w14:paraId="71919F12"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Māori exercise leadership/authority over their own research, including intergenerational planning to develop Māori researchers and support for Māori self-determination and mana motuhake.  </w:t>
            </w:r>
          </w:p>
          <w:p w14:paraId="7A906195" w14:textId="77777777" w:rsidR="00C5498E" w:rsidRPr="00B6047A" w:rsidRDefault="00C5498E" w:rsidP="00764CC3">
            <w:pPr>
              <w:contextualSpacing/>
              <w:rPr>
                <w:rFonts w:ascii="Century Gothic" w:eastAsia="Century Gothic" w:hAnsi="Century Gothic" w:cs="Century Gothic"/>
                <w:sz w:val="20"/>
                <w:lang w:val="en-NZ"/>
              </w:rPr>
            </w:pPr>
          </w:p>
          <w:p w14:paraId="0FFC8EA3"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that Māori lead decision-making about Māori information/data that is collected and how it is used.</w:t>
            </w:r>
          </w:p>
        </w:tc>
        <w:tc>
          <w:tcPr>
            <w:tcW w:w="1629" w:type="pct"/>
            <w:vAlign w:val="center"/>
          </w:tcPr>
          <w:p w14:paraId="66F8C048"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Pathways and research are co-designed in collaboration with Māori research providers and consumers.</w:t>
            </w:r>
          </w:p>
        </w:tc>
        <w:tc>
          <w:tcPr>
            <w:tcW w:w="584" w:type="pct"/>
            <w:vAlign w:val="center"/>
          </w:tcPr>
          <w:p w14:paraId="6FF5656B"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34409CD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07" w:type="pct"/>
            <w:vAlign w:val="center"/>
          </w:tcPr>
          <w:p w14:paraId="2DCE2F16"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tc>
      </w:tr>
      <w:tr w:rsidR="00C5498E" w:rsidRPr="00B6047A" w14:paraId="2600439A" w14:textId="77777777" w:rsidTr="00764CC3">
        <w:tc>
          <w:tcPr>
            <w:tcW w:w="594" w:type="pct"/>
            <w:vMerge/>
          </w:tcPr>
          <w:p w14:paraId="167CF0C9" w14:textId="77777777" w:rsidR="00C5498E" w:rsidRPr="00B6047A" w:rsidRDefault="00C5498E" w:rsidP="00764CC3">
            <w:pPr>
              <w:spacing w:after="200" w:line="280" w:lineRule="exact"/>
              <w:rPr>
                <w:sz w:val="20"/>
                <w:lang w:val="en-NZ"/>
              </w:rPr>
            </w:pPr>
          </w:p>
        </w:tc>
        <w:tc>
          <w:tcPr>
            <w:tcW w:w="1137" w:type="pct"/>
            <w:vMerge/>
          </w:tcPr>
          <w:p w14:paraId="522E1381" w14:textId="77777777" w:rsidR="00C5498E" w:rsidRPr="00B6047A" w:rsidRDefault="00C5498E" w:rsidP="00764CC3">
            <w:pPr>
              <w:spacing w:after="200" w:line="280" w:lineRule="exact"/>
              <w:rPr>
                <w:sz w:val="20"/>
                <w:lang w:val="en-NZ"/>
              </w:rPr>
            </w:pPr>
          </w:p>
        </w:tc>
        <w:tc>
          <w:tcPr>
            <w:tcW w:w="1629" w:type="pct"/>
            <w:vAlign w:val="center"/>
          </w:tcPr>
          <w:p w14:paraId="4CAF1673" w14:textId="77777777" w:rsidR="00C5498E" w:rsidRPr="00B6047A" w:rsidRDefault="00C5498E" w:rsidP="00764CC3">
            <w:pPr>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Pathways</w:t>
            </w:r>
            <w:r w:rsidRPr="00B6047A">
              <w:rPr>
                <w:rFonts w:ascii="Century Gothic" w:eastAsia="Century Gothic" w:hAnsi="Century Gothic" w:cs="Century Gothic"/>
                <w:b/>
                <w:bCs/>
                <w:sz w:val="20"/>
                <w:lang w:val="en-NZ"/>
              </w:rPr>
              <w:t xml:space="preserve"> </w:t>
            </w:r>
            <w:r w:rsidRPr="00B6047A">
              <w:rPr>
                <w:rFonts w:ascii="Century Gothic" w:eastAsia="Century Gothic" w:hAnsi="Century Gothic" w:cs="Century Gothic"/>
                <w:sz w:val="20"/>
                <w:lang w:val="en-NZ"/>
              </w:rPr>
              <w:t>and research are led by Māori researchers and Māori research organisations.</w:t>
            </w:r>
          </w:p>
        </w:tc>
        <w:tc>
          <w:tcPr>
            <w:tcW w:w="584" w:type="pct"/>
            <w:vAlign w:val="center"/>
          </w:tcPr>
          <w:p w14:paraId="73FD2AC4"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vAlign w:val="center"/>
          </w:tcPr>
          <w:p w14:paraId="525E9E1C"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tc>
        <w:tc>
          <w:tcPr>
            <w:tcW w:w="507" w:type="pct"/>
            <w:shd w:val="clear" w:color="auto" w:fill="FFCCCC"/>
            <w:vAlign w:val="center"/>
          </w:tcPr>
          <w:p w14:paraId="12E46A3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5FCBBC36"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709F61D8" w14:textId="77777777" w:rsidTr="00764CC3">
        <w:tc>
          <w:tcPr>
            <w:tcW w:w="594" w:type="pct"/>
            <w:vMerge/>
          </w:tcPr>
          <w:p w14:paraId="732E3891" w14:textId="77777777" w:rsidR="00C5498E" w:rsidRPr="00B6047A" w:rsidRDefault="00C5498E" w:rsidP="00764CC3">
            <w:pPr>
              <w:spacing w:after="200" w:line="280" w:lineRule="exact"/>
              <w:rPr>
                <w:sz w:val="20"/>
                <w:lang w:val="en-NZ"/>
              </w:rPr>
            </w:pPr>
          </w:p>
        </w:tc>
        <w:tc>
          <w:tcPr>
            <w:tcW w:w="1137" w:type="pct"/>
            <w:vMerge/>
          </w:tcPr>
          <w:p w14:paraId="4F3D19C5" w14:textId="77777777" w:rsidR="00C5498E" w:rsidRPr="00B6047A" w:rsidRDefault="00C5498E" w:rsidP="00764CC3">
            <w:pPr>
              <w:spacing w:after="200" w:line="280" w:lineRule="exact"/>
              <w:rPr>
                <w:sz w:val="20"/>
                <w:lang w:val="en-NZ"/>
              </w:rPr>
            </w:pPr>
          </w:p>
        </w:tc>
        <w:tc>
          <w:tcPr>
            <w:tcW w:w="1629" w:type="pct"/>
            <w:vAlign w:val="center"/>
          </w:tcPr>
          <w:p w14:paraId="76128796"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Attention is given to research to developing capability within te ao Māori by Māori. </w:t>
            </w:r>
          </w:p>
        </w:tc>
        <w:tc>
          <w:tcPr>
            <w:tcW w:w="584" w:type="pct"/>
            <w:vAlign w:val="center"/>
          </w:tcPr>
          <w:p w14:paraId="3FE86A59"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52449EB0"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2.1</w:t>
            </w:r>
          </w:p>
        </w:tc>
        <w:tc>
          <w:tcPr>
            <w:tcW w:w="507" w:type="pct"/>
            <w:shd w:val="clear" w:color="auto" w:fill="FFCCCC"/>
            <w:vAlign w:val="center"/>
          </w:tcPr>
          <w:p w14:paraId="2D88B548"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2CDD2A2C" w14:textId="77777777" w:rsidTr="00764CC3">
        <w:tc>
          <w:tcPr>
            <w:tcW w:w="594" w:type="pct"/>
            <w:vMerge/>
          </w:tcPr>
          <w:p w14:paraId="2D79A1BE" w14:textId="77777777" w:rsidR="00C5498E" w:rsidRPr="00B6047A" w:rsidRDefault="00C5498E" w:rsidP="00764CC3">
            <w:pPr>
              <w:spacing w:after="200" w:line="280" w:lineRule="exact"/>
              <w:rPr>
                <w:sz w:val="20"/>
                <w:lang w:val="en-NZ"/>
              </w:rPr>
            </w:pPr>
          </w:p>
        </w:tc>
        <w:tc>
          <w:tcPr>
            <w:tcW w:w="1137" w:type="pct"/>
            <w:vMerge/>
          </w:tcPr>
          <w:p w14:paraId="2E3EBCAF" w14:textId="77777777" w:rsidR="00C5498E" w:rsidRPr="00B6047A" w:rsidRDefault="00C5498E" w:rsidP="00764CC3">
            <w:pPr>
              <w:spacing w:after="200" w:line="280" w:lineRule="exact"/>
              <w:rPr>
                <w:sz w:val="20"/>
                <w:lang w:val="en-NZ"/>
              </w:rPr>
            </w:pPr>
          </w:p>
        </w:tc>
        <w:tc>
          <w:tcPr>
            <w:tcW w:w="1629" w:type="pct"/>
            <w:vAlign w:val="center"/>
          </w:tcPr>
          <w:p w14:paraId="37D94411"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Ensuring all research pathways and the processes within have been developed and/or reviewed with a Tiriti lens.</w:t>
            </w:r>
          </w:p>
        </w:tc>
        <w:tc>
          <w:tcPr>
            <w:tcW w:w="584" w:type="pct"/>
            <w:shd w:val="clear" w:color="auto" w:fill="FFFFAB"/>
            <w:vAlign w:val="center"/>
          </w:tcPr>
          <w:p w14:paraId="25150663" w14:textId="77777777" w:rsidR="00C5498E" w:rsidRPr="00B6047A" w:rsidRDefault="00C5498E" w:rsidP="00764CC3">
            <w:pPr>
              <w:spacing w:after="200" w:line="280" w:lineRule="exact"/>
              <w:jc w:val="center"/>
              <w:rPr>
                <w:rFonts w:ascii="Century Gothic" w:eastAsia="Century Gothic" w:hAnsi="Century Gothic" w:cs="Century Gothic"/>
                <w:color w:val="202124"/>
                <w:position w:val="8"/>
                <w:sz w:val="16"/>
                <w:lang w:val="en-NZ"/>
              </w:rPr>
            </w:pPr>
          </w:p>
          <w:p w14:paraId="32A2BF02"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1.1</w:t>
            </w:r>
          </w:p>
        </w:tc>
        <w:tc>
          <w:tcPr>
            <w:tcW w:w="549" w:type="pct"/>
            <w:shd w:val="clear" w:color="auto" w:fill="FFCB7D"/>
            <w:vAlign w:val="center"/>
          </w:tcPr>
          <w:p w14:paraId="28868EA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4D1BC88E"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3DE9BD4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4B0F8138"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C5498E" w:rsidRPr="00B6047A" w14:paraId="5C772520" w14:textId="77777777" w:rsidTr="00764CC3">
        <w:trPr>
          <w:trHeight w:val="699"/>
        </w:trPr>
        <w:tc>
          <w:tcPr>
            <w:tcW w:w="594" w:type="pct"/>
            <w:vMerge w:val="restart"/>
          </w:tcPr>
          <w:p w14:paraId="3BA791E2"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269451E9" w14:textId="77777777" w:rsidR="00C5498E" w:rsidRPr="00B6047A" w:rsidRDefault="00C5498E" w:rsidP="00764CC3">
            <w:pPr>
              <w:spacing w:after="200" w:line="280" w:lineRule="exact"/>
              <w:rPr>
                <w:rFonts w:ascii="Century Gothic" w:eastAsia="Century Gothic" w:hAnsi="Century Gothic" w:cs="Century Gothic"/>
                <w:b/>
                <w:bCs/>
                <w:sz w:val="20"/>
                <w:lang w:val="en-NZ"/>
              </w:rPr>
            </w:pPr>
          </w:p>
          <w:p w14:paraId="23172413"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49CFAADE"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lastRenderedPageBreak/>
              <w:t>Equity</w:t>
            </w:r>
          </w:p>
        </w:tc>
        <w:tc>
          <w:tcPr>
            <w:tcW w:w="1137" w:type="pct"/>
            <w:vMerge w:val="restart"/>
          </w:tcPr>
          <w:p w14:paraId="3EDAE8CE"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Achieving equity of health outcomes for Māori is an essential component of research.</w:t>
            </w:r>
          </w:p>
          <w:p w14:paraId="6F21FEB9"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 xml:space="preserve">Information and research data will be used to highlight any disparities between the Māori and non-Māori populations and highlight areas to address. </w:t>
            </w:r>
          </w:p>
          <w:p w14:paraId="063601E3"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Equity through Māori leadership in research oversight.</w:t>
            </w:r>
          </w:p>
        </w:tc>
        <w:tc>
          <w:tcPr>
            <w:tcW w:w="1629" w:type="pct"/>
            <w:vAlign w:val="center"/>
          </w:tcPr>
          <w:p w14:paraId="60F30C8C"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Māori leadership in the definition of work programmes and priorities to assist in achieving equity of Māori health outcomes.</w:t>
            </w:r>
          </w:p>
        </w:tc>
        <w:tc>
          <w:tcPr>
            <w:tcW w:w="584" w:type="pct"/>
            <w:vAlign w:val="center"/>
          </w:tcPr>
          <w:p w14:paraId="673541B4"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0126975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4088D59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4A8B4BAD" w14:textId="77777777" w:rsidTr="00764CC3">
        <w:tc>
          <w:tcPr>
            <w:tcW w:w="594" w:type="pct"/>
            <w:vMerge/>
          </w:tcPr>
          <w:p w14:paraId="61D81A0F" w14:textId="77777777" w:rsidR="00C5498E" w:rsidRPr="00B6047A" w:rsidRDefault="00C5498E" w:rsidP="00764CC3">
            <w:pPr>
              <w:spacing w:after="200" w:line="280" w:lineRule="exact"/>
              <w:rPr>
                <w:sz w:val="20"/>
                <w:lang w:val="en-NZ"/>
              </w:rPr>
            </w:pPr>
          </w:p>
        </w:tc>
        <w:tc>
          <w:tcPr>
            <w:tcW w:w="1137" w:type="pct"/>
            <w:vMerge/>
          </w:tcPr>
          <w:p w14:paraId="3A6C9EB2" w14:textId="77777777" w:rsidR="00C5498E" w:rsidRPr="00B6047A" w:rsidRDefault="00C5498E" w:rsidP="00764CC3">
            <w:pPr>
              <w:spacing w:after="200" w:line="280" w:lineRule="exact"/>
              <w:rPr>
                <w:sz w:val="20"/>
                <w:lang w:val="en-NZ"/>
              </w:rPr>
            </w:pPr>
          </w:p>
        </w:tc>
        <w:tc>
          <w:tcPr>
            <w:tcW w:w="1629" w:type="pct"/>
            <w:vAlign w:val="center"/>
          </w:tcPr>
          <w:p w14:paraId="7410E60E"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Disparity areas identified will be prioritised in the research agenda.</w:t>
            </w:r>
          </w:p>
        </w:tc>
        <w:tc>
          <w:tcPr>
            <w:tcW w:w="584" w:type="pct"/>
            <w:shd w:val="clear" w:color="auto" w:fill="FFFFAB"/>
            <w:vAlign w:val="center"/>
          </w:tcPr>
          <w:p w14:paraId="4756ADA8" w14:textId="77777777" w:rsidR="00C5498E" w:rsidRPr="00B6047A" w:rsidRDefault="00C5498E" w:rsidP="00764CC3">
            <w:pPr>
              <w:spacing w:after="200" w:line="280" w:lineRule="exact"/>
              <w:rPr>
                <w:rFonts w:ascii="Century Gothic" w:eastAsia="Century Gothic" w:hAnsi="Century Gothic" w:cs="Century Gothic"/>
                <w:color w:val="202124"/>
                <w:position w:val="8"/>
                <w:sz w:val="16"/>
                <w:lang w:val="en-NZ"/>
              </w:rPr>
            </w:pPr>
          </w:p>
          <w:p w14:paraId="6350E88F"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1.1</w:t>
            </w:r>
          </w:p>
        </w:tc>
        <w:tc>
          <w:tcPr>
            <w:tcW w:w="549" w:type="pct"/>
            <w:shd w:val="clear" w:color="auto" w:fill="FFCB7D"/>
            <w:vAlign w:val="center"/>
          </w:tcPr>
          <w:p w14:paraId="31F6B0AF"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5FE4F147"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6D092A79"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13AF6390"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C5498E" w:rsidRPr="00B6047A" w14:paraId="20C996E6" w14:textId="77777777" w:rsidTr="00764CC3">
        <w:tc>
          <w:tcPr>
            <w:tcW w:w="594" w:type="pct"/>
            <w:vMerge/>
          </w:tcPr>
          <w:p w14:paraId="5CE306CF" w14:textId="77777777" w:rsidR="00C5498E" w:rsidRPr="00B6047A" w:rsidRDefault="00C5498E" w:rsidP="00764CC3">
            <w:pPr>
              <w:spacing w:after="200" w:line="280" w:lineRule="exact"/>
              <w:rPr>
                <w:sz w:val="20"/>
                <w:lang w:val="en-NZ"/>
              </w:rPr>
            </w:pPr>
          </w:p>
        </w:tc>
        <w:tc>
          <w:tcPr>
            <w:tcW w:w="1137" w:type="pct"/>
            <w:vMerge/>
          </w:tcPr>
          <w:p w14:paraId="0C8920AC" w14:textId="77777777" w:rsidR="00C5498E" w:rsidRPr="00B6047A" w:rsidRDefault="00C5498E" w:rsidP="00764CC3">
            <w:pPr>
              <w:spacing w:after="200" w:line="280" w:lineRule="exact"/>
              <w:rPr>
                <w:sz w:val="20"/>
                <w:lang w:val="en-NZ"/>
              </w:rPr>
            </w:pPr>
          </w:p>
        </w:tc>
        <w:tc>
          <w:tcPr>
            <w:tcW w:w="1629" w:type="pct"/>
            <w:vAlign w:val="center"/>
          </w:tcPr>
          <w:p w14:paraId="03B7286D" w14:textId="77777777" w:rsidR="00C5498E" w:rsidRPr="00B6047A" w:rsidRDefault="00C5498E" w:rsidP="00764CC3">
            <w:pPr>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Development of Māori capability to achieve equity.</w:t>
            </w:r>
          </w:p>
        </w:tc>
        <w:tc>
          <w:tcPr>
            <w:tcW w:w="584" w:type="pct"/>
            <w:shd w:val="clear" w:color="auto" w:fill="FFFFAB"/>
            <w:vAlign w:val="center"/>
          </w:tcPr>
          <w:p w14:paraId="24968B15" w14:textId="77777777" w:rsidR="00C5498E" w:rsidRPr="00B6047A" w:rsidRDefault="00C5498E" w:rsidP="00764CC3">
            <w:pPr>
              <w:spacing w:after="200" w:line="280" w:lineRule="exact"/>
              <w:jc w:val="center"/>
              <w:rPr>
                <w:rFonts w:ascii="Century Gothic" w:eastAsia="Century Gothic" w:hAnsi="Century Gothic" w:cs="Century Gothic"/>
                <w:color w:val="202124"/>
                <w:position w:val="8"/>
                <w:sz w:val="16"/>
                <w:lang w:val="en-NZ"/>
              </w:rPr>
            </w:pPr>
          </w:p>
          <w:p w14:paraId="3E6261EC"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1.1</w:t>
            </w:r>
          </w:p>
        </w:tc>
        <w:tc>
          <w:tcPr>
            <w:tcW w:w="549" w:type="pct"/>
            <w:shd w:val="clear" w:color="auto" w:fill="FFCB7D"/>
            <w:vAlign w:val="center"/>
          </w:tcPr>
          <w:p w14:paraId="5F53648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1D44D8C1"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753C16B0"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1D3F4F15"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C5498E" w:rsidRPr="00B6047A" w14:paraId="2F61F547" w14:textId="77777777" w:rsidTr="00764CC3">
        <w:tc>
          <w:tcPr>
            <w:tcW w:w="594" w:type="pct"/>
            <w:vMerge w:val="restart"/>
          </w:tcPr>
          <w:p w14:paraId="70AEA6DB"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77440D53"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08C02D68"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4F9A92D2"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77FF6A49"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Active Protection</w:t>
            </w:r>
          </w:p>
        </w:tc>
        <w:tc>
          <w:tcPr>
            <w:tcW w:w="1137" w:type="pct"/>
            <w:vMerge w:val="restart"/>
          </w:tcPr>
          <w:p w14:paraId="1C9D7738"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work programme priorities are determined by conditions that have the greatest impact on improving health outcomes for Māori.</w:t>
            </w:r>
          </w:p>
          <w:p w14:paraId="5FF36D31"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Quality research supports the provision of services (that achieves better health and wellbeing for Māori and the population as a whole. </w:t>
            </w:r>
          </w:p>
          <w:p w14:paraId="18B0E671"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 xml:space="preserve">Data sovereignty and Mātauranga Māori are recognised and protected.  </w:t>
            </w:r>
          </w:p>
          <w:p w14:paraId="55853745"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An inclusive and enabling environment is established for tangata Māori.</w:t>
            </w:r>
          </w:p>
        </w:tc>
        <w:tc>
          <w:tcPr>
            <w:tcW w:w="1629" w:type="pct"/>
            <w:vAlign w:val="center"/>
          </w:tcPr>
          <w:p w14:paraId="72A63113"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Consideration and prioritisation of programmes that will lead to the active protection of Māori health and well-being.</w:t>
            </w:r>
          </w:p>
        </w:tc>
        <w:tc>
          <w:tcPr>
            <w:tcW w:w="584" w:type="pct"/>
            <w:vAlign w:val="center"/>
          </w:tcPr>
          <w:p w14:paraId="6CB58C07"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0BC9D890"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5985D511"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7E4BD553"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000000"/>
                <w:sz w:val="20"/>
                <w:lang w:val="en-NZ"/>
              </w:rPr>
              <w:t>2.2</w:t>
            </w:r>
          </w:p>
        </w:tc>
        <w:tc>
          <w:tcPr>
            <w:tcW w:w="507" w:type="pct"/>
            <w:shd w:val="clear" w:color="auto" w:fill="FFCCCC"/>
            <w:vAlign w:val="center"/>
          </w:tcPr>
          <w:p w14:paraId="3E43BD6D"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47C6C435"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C5498E" w:rsidRPr="00B6047A" w14:paraId="791F21C4" w14:textId="77777777" w:rsidTr="00764CC3">
        <w:tc>
          <w:tcPr>
            <w:tcW w:w="594" w:type="pct"/>
            <w:vMerge/>
          </w:tcPr>
          <w:p w14:paraId="5C0B7E55" w14:textId="77777777" w:rsidR="00C5498E" w:rsidRPr="00B6047A" w:rsidRDefault="00C5498E" w:rsidP="00764CC3">
            <w:pPr>
              <w:spacing w:after="200" w:line="280" w:lineRule="exact"/>
              <w:rPr>
                <w:sz w:val="20"/>
                <w:lang w:val="en-NZ"/>
              </w:rPr>
            </w:pPr>
          </w:p>
        </w:tc>
        <w:tc>
          <w:tcPr>
            <w:tcW w:w="1137" w:type="pct"/>
            <w:vMerge/>
          </w:tcPr>
          <w:p w14:paraId="3FFA5F0B" w14:textId="77777777" w:rsidR="00C5498E" w:rsidRPr="00B6047A" w:rsidRDefault="00C5498E" w:rsidP="00764CC3">
            <w:pPr>
              <w:spacing w:after="200" w:line="280" w:lineRule="exact"/>
              <w:rPr>
                <w:sz w:val="20"/>
                <w:lang w:val="en-NZ"/>
              </w:rPr>
            </w:pPr>
          </w:p>
        </w:tc>
        <w:tc>
          <w:tcPr>
            <w:tcW w:w="1629" w:type="pct"/>
            <w:vAlign w:val="center"/>
          </w:tcPr>
          <w:p w14:paraId="031CEC83" w14:textId="77777777" w:rsidR="00C5498E" w:rsidRPr="00B6047A" w:rsidRDefault="00C5498E" w:rsidP="00764CC3">
            <w:pPr>
              <w:rPr>
                <w:rFonts w:ascii="Century Gothic" w:eastAsia="Century Gothic" w:hAnsi="Century Gothic" w:cs="Century Gothic"/>
                <w:color w:val="000000"/>
                <w:sz w:val="20"/>
                <w:lang w:val="en-NZ"/>
              </w:rPr>
            </w:pPr>
            <w:r w:rsidRPr="00B6047A">
              <w:rPr>
                <w:rFonts w:ascii="Century Gothic" w:eastAsia="Century Gothic" w:hAnsi="Century Gothic" w:cs="Century Gothic"/>
                <w:sz w:val="20"/>
                <w:lang w:val="en-NZ"/>
              </w:rPr>
              <w:t>Māori are involved in decision-making around ownership, collection and use of mātauranga Māori, information and data.</w:t>
            </w:r>
          </w:p>
        </w:tc>
        <w:tc>
          <w:tcPr>
            <w:tcW w:w="584" w:type="pct"/>
            <w:shd w:val="clear" w:color="auto" w:fill="FFFFAB"/>
            <w:vAlign w:val="center"/>
          </w:tcPr>
          <w:p w14:paraId="07AA03F5" w14:textId="77777777" w:rsidR="00C5498E" w:rsidRPr="00B6047A" w:rsidRDefault="00C5498E" w:rsidP="00764CC3">
            <w:pPr>
              <w:spacing w:after="200"/>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tc>
        <w:tc>
          <w:tcPr>
            <w:tcW w:w="549" w:type="pct"/>
            <w:shd w:val="clear" w:color="auto" w:fill="FFCB7D"/>
            <w:vAlign w:val="center"/>
          </w:tcPr>
          <w:p w14:paraId="2066817C" w14:textId="77777777" w:rsidR="00C5498E" w:rsidRPr="00B6047A" w:rsidRDefault="00C5498E" w:rsidP="00764CC3">
            <w:pPr>
              <w:spacing w:after="200" w:line="280" w:lineRule="exact"/>
              <w:jc w:val="center"/>
              <w:rPr>
                <w:rFonts w:ascii="Century Gothic" w:eastAsia="Century Gothic" w:hAnsi="Century Gothic" w:cs="Century Gothic"/>
                <w:strike/>
                <w:color w:val="202124"/>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1782345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251F446B" w14:textId="77777777" w:rsidTr="00764CC3">
        <w:tc>
          <w:tcPr>
            <w:tcW w:w="594" w:type="pct"/>
            <w:vMerge/>
          </w:tcPr>
          <w:p w14:paraId="3A5F662F" w14:textId="77777777" w:rsidR="00C5498E" w:rsidRPr="00B6047A" w:rsidRDefault="00C5498E" w:rsidP="00764CC3">
            <w:pPr>
              <w:spacing w:after="200" w:line="280" w:lineRule="exact"/>
              <w:rPr>
                <w:sz w:val="20"/>
                <w:lang w:val="en-NZ"/>
              </w:rPr>
            </w:pPr>
          </w:p>
        </w:tc>
        <w:tc>
          <w:tcPr>
            <w:tcW w:w="1137" w:type="pct"/>
            <w:vMerge/>
          </w:tcPr>
          <w:p w14:paraId="78DFF29C" w14:textId="77777777" w:rsidR="00C5498E" w:rsidRPr="00B6047A" w:rsidRDefault="00C5498E" w:rsidP="00764CC3">
            <w:pPr>
              <w:spacing w:after="200" w:line="280" w:lineRule="exact"/>
              <w:rPr>
                <w:sz w:val="20"/>
                <w:lang w:val="en-NZ"/>
              </w:rPr>
            </w:pPr>
          </w:p>
        </w:tc>
        <w:tc>
          <w:tcPr>
            <w:tcW w:w="1629" w:type="pct"/>
            <w:vAlign w:val="center"/>
          </w:tcPr>
          <w:p w14:paraId="426B4D32"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leadership is involved in decision-making around ownership, collection and use of mātauranga Māori, information and data.</w:t>
            </w:r>
          </w:p>
        </w:tc>
        <w:tc>
          <w:tcPr>
            <w:tcW w:w="584" w:type="pct"/>
            <w:vAlign w:val="center"/>
          </w:tcPr>
          <w:p w14:paraId="297D6130"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4A06491A" w14:textId="77777777" w:rsidR="00C5498E" w:rsidRPr="00B6047A" w:rsidRDefault="00C5498E" w:rsidP="00764CC3">
            <w:pPr>
              <w:spacing w:after="200"/>
              <w:jc w:val="center"/>
              <w:rPr>
                <w:rFonts w:ascii="Century Gothic" w:eastAsia="Century Gothic" w:hAnsi="Century Gothic" w:cs="Century Gothic"/>
                <w:strike/>
                <w:color w:val="000000"/>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6E2F3C0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516BA94E" w14:textId="77777777" w:rsidTr="00764CC3">
        <w:tc>
          <w:tcPr>
            <w:tcW w:w="594" w:type="pct"/>
            <w:vMerge/>
          </w:tcPr>
          <w:p w14:paraId="3B908F38" w14:textId="77777777" w:rsidR="00C5498E" w:rsidRPr="00B6047A" w:rsidRDefault="00C5498E" w:rsidP="00764CC3">
            <w:pPr>
              <w:spacing w:after="200" w:line="280" w:lineRule="exact"/>
              <w:rPr>
                <w:sz w:val="20"/>
                <w:lang w:val="en-NZ"/>
              </w:rPr>
            </w:pPr>
          </w:p>
        </w:tc>
        <w:tc>
          <w:tcPr>
            <w:tcW w:w="1137" w:type="pct"/>
            <w:vMerge/>
          </w:tcPr>
          <w:p w14:paraId="33D322B9" w14:textId="77777777" w:rsidR="00C5498E" w:rsidRPr="00B6047A" w:rsidRDefault="00C5498E" w:rsidP="00764CC3">
            <w:pPr>
              <w:spacing w:after="200" w:line="280" w:lineRule="exact"/>
              <w:rPr>
                <w:sz w:val="20"/>
                <w:lang w:val="en-NZ"/>
              </w:rPr>
            </w:pPr>
          </w:p>
        </w:tc>
        <w:tc>
          <w:tcPr>
            <w:tcW w:w="1629" w:type="pct"/>
            <w:vAlign w:val="center"/>
          </w:tcPr>
          <w:p w14:paraId="45E7E2B5"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Personnel, protocols and policies reflect aspirations and contributions of Māori.</w:t>
            </w:r>
          </w:p>
        </w:tc>
        <w:tc>
          <w:tcPr>
            <w:tcW w:w="584" w:type="pct"/>
            <w:shd w:val="clear" w:color="auto" w:fill="FFFFAB"/>
            <w:vAlign w:val="center"/>
          </w:tcPr>
          <w:p w14:paraId="6BF108E0"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18EE7263"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1.1</w:t>
            </w:r>
          </w:p>
          <w:p w14:paraId="0EA700EE"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37DB7072"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1.1</w:t>
            </w:r>
          </w:p>
        </w:tc>
        <w:tc>
          <w:tcPr>
            <w:tcW w:w="507" w:type="pct"/>
            <w:shd w:val="clear" w:color="auto" w:fill="FFCCCC"/>
            <w:vAlign w:val="center"/>
          </w:tcPr>
          <w:p w14:paraId="787591E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6D84ACAB" w14:textId="77777777" w:rsidTr="00764CC3">
        <w:tc>
          <w:tcPr>
            <w:tcW w:w="594" w:type="pct"/>
          </w:tcPr>
          <w:p w14:paraId="2A4AF35F"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18675BC8"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5038BA15"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2B479AD6"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Options</w:t>
            </w:r>
          </w:p>
        </w:tc>
        <w:tc>
          <w:tcPr>
            <w:tcW w:w="1137" w:type="pct"/>
          </w:tcPr>
          <w:p w14:paraId="750BCA19"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Research pathways meet key quality criteria.</w:t>
            </w:r>
          </w:p>
          <w:p w14:paraId="6055106D"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Kaupapa Māori and other differences such as geography are accommodated.</w:t>
            </w:r>
          </w:p>
          <w:p w14:paraId="3A63FC71"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programmes contribute to greater access to health and wellbeing services for Māori.</w:t>
            </w:r>
          </w:p>
        </w:tc>
        <w:tc>
          <w:tcPr>
            <w:tcW w:w="1629" w:type="pct"/>
            <w:vAlign w:val="center"/>
          </w:tcPr>
          <w:p w14:paraId="28D84289"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 xml:space="preserve">The MWC enables research options that provide localised, specific programmes and </w:t>
            </w:r>
            <w:r w:rsidRPr="00B6047A">
              <w:rPr>
                <w:rFonts w:ascii="Century Gothic" w:eastAsia="Century Gothic" w:hAnsi="Century Gothic" w:cs="Century Gothic"/>
                <w:sz w:val="20"/>
                <w:lang w:val="en-NZ"/>
              </w:rPr>
              <w:lastRenderedPageBreak/>
              <w:t>research which incorporates diverse communities, including Māori communities.</w:t>
            </w:r>
          </w:p>
        </w:tc>
        <w:tc>
          <w:tcPr>
            <w:tcW w:w="584" w:type="pct"/>
            <w:vAlign w:val="center"/>
          </w:tcPr>
          <w:p w14:paraId="0B7D4030"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p>
          <w:p w14:paraId="5F1430AD"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49" w:type="pct"/>
            <w:shd w:val="clear" w:color="auto" w:fill="FFCB7D"/>
            <w:vAlign w:val="center"/>
          </w:tcPr>
          <w:p w14:paraId="249C4261"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lastRenderedPageBreak/>
              <w:t>1.1</w:t>
            </w:r>
          </w:p>
          <w:p w14:paraId="19AB3B70" w14:textId="77777777" w:rsidR="00C5498E" w:rsidRPr="00B6047A" w:rsidRDefault="00C5498E" w:rsidP="00764CC3">
            <w:pPr>
              <w:spacing w:after="200"/>
              <w:jc w:val="center"/>
              <w:rPr>
                <w:rFonts w:ascii="Century Gothic" w:eastAsia="Century Gothic" w:hAnsi="Century Gothic" w:cs="Century Gothic"/>
                <w:color w:val="000000"/>
                <w:sz w:val="20"/>
                <w:lang w:val="en-NZ"/>
              </w:rPr>
            </w:pPr>
          </w:p>
        </w:tc>
        <w:tc>
          <w:tcPr>
            <w:tcW w:w="507" w:type="pct"/>
            <w:shd w:val="clear" w:color="auto" w:fill="FFCCCC"/>
            <w:vAlign w:val="center"/>
          </w:tcPr>
          <w:p w14:paraId="5913F401" w14:textId="77777777" w:rsidR="00C5498E" w:rsidRPr="00B6047A" w:rsidRDefault="00C5498E" w:rsidP="00764CC3">
            <w:pPr>
              <w:spacing w:after="200"/>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lastRenderedPageBreak/>
              <w:t>3.1</w:t>
            </w:r>
          </w:p>
        </w:tc>
      </w:tr>
      <w:tr w:rsidR="00C5498E" w:rsidRPr="00B6047A" w14:paraId="04244D6A" w14:textId="77777777" w:rsidTr="00764CC3">
        <w:trPr>
          <w:trHeight w:val="707"/>
        </w:trPr>
        <w:tc>
          <w:tcPr>
            <w:tcW w:w="594" w:type="pct"/>
            <w:vMerge w:val="restart"/>
          </w:tcPr>
          <w:p w14:paraId="15E101F4"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74149B6B"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559B5766"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p>
          <w:p w14:paraId="4374C3E3" w14:textId="77777777" w:rsidR="00C5498E" w:rsidRPr="00B6047A" w:rsidRDefault="00C5498E" w:rsidP="00764CC3">
            <w:pPr>
              <w:spacing w:after="200" w:line="280" w:lineRule="exact"/>
              <w:jc w:val="center"/>
              <w:rPr>
                <w:rFonts w:ascii="Century Gothic" w:eastAsia="Century Gothic" w:hAnsi="Century Gothic" w:cs="Century Gothic"/>
                <w:b/>
                <w:bCs/>
                <w:sz w:val="20"/>
                <w:lang w:val="en-NZ"/>
              </w:rPr>
            </w:pPr>
            <w:r w:rsidRPr="00B6047A">
              <w:rPr>
                <w:rFonts w:ascii="Century Gothic" w:eastAsia="Century Gothic" w:hAnsi="Century Gothic" w:cs="Century Gothic"/>
                <w:b/>
                <w:bCs/>
                <w:sz w:val="20"/>
                <w:lang w:val="en-NZ"/>
              </w:rPr>
              <w:t>Partnership</w:t>
            </w:r>
          </w:p>
        </w:tc>
        <w:tc>
          <w:tcPr>
            <w:tcW w:w="1137" w:type="pct"/>
            <w:vMerge w:val="restart"/>
          </w:tcPr>
          <w:p w14:paraId="718BC184" w14:textId="77777777" w:rsidR="00C5498E" w:rsidRPr="00B6047A" w:rsidRDefault="00C5498E" w:rsidP="00764CC3">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Evidence informs us that only when we work in partnership in the governance, design, delivery and monitoring of health research services, can we improve health outcomes and wellbeing for Māori.</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By doing so, we should also be able to achieve whole of population equity and wellbeing. </w:t>
            </w:r>
          </w:p>
          <w:p w14:paraId="198BCDEE" w14:textId="77777777" w:rsidR="00C5498E" w:rsidRPr="00B6047A" w:rsidRDefault="00C5498E" w:rsidP="00764CC3">
            <w:pPr>
              <w:spacing w:after="200" w:line="280" w:lineRule="exact"/>
              <w:rPr>
                <w:rFonts w:ascii="Century Gothic" w:eastAsia="Century Gothic" w:hAnsi="Century Gothic" w:cs="Century Gothic"/>
                <w:sz w:val="20"/>
                <w:lang w:val="en-NZ"/>
              </w:rPr>
            </w:pPr>
          </w:p>
        </w:tc>
        <w:tc>
          <w:tcPr>
            <w:tcW w:w="1629" w:type="pct"/>
            <w:vAlign w:val="center"/>
          </w:tcPr>
          <w:p w14:paraId="2367E95F"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Collaborative relationships grounded in trust and reciprocity define participation by all parties.</w:t>
            </w:r>
          </w:p>
        </w:tc>
        <w:tc>
          <w:tcPr>
            <w:tcW w:w="584" w:type="pct"/>
            <w:shd w:val="clear" w:color="auto" w:fill="FFFFAB"/>
            <w:vAlign w:val="center"/>
          </w:tcPr>
          <w:p w14:paraId="6470A70B"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1.2</w:t>
            </w:r>
          </w:p>
        </w:tc>
        <w:tc>
          <w:tcPr>
            <w:tcW w:w="549" w:type="pct"/>
            <w:shd w:val="clear" w:color="auto" w:fill="FFCB7D"/>
            <w:vAlign w:val="center"/>
          </w:tcPr>
          <w:p w14:paraId="50C5406A"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3A45002B"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r w:rsidR="00C5498E" w:rsidRPr="00B6047A" w14:paraId="3B0FBE3E" w14:textId="77777777" w:rsidTr="00764CC3">
        <w:trPr>
          <w:trHeight w:val="707"/>
        </w:trPr>
        <w:tc>
          <w:tcPr>
            <w:tcW w:w="594" w:type="pct"/>
            <w:vMerge/>
          </w:tcPr>
          <w:p w14:paraId="7FBA7C2C" w14:textId="77777777" w:rsidR="00C5498E" w:rsidRPr="00B6047A" w:rsidRDefault="00C5498E" w:rsidP="00764CC3">
            <w:pPr>
              <w:spacing w:after="200" w:line="280" w:lineRule="exact"/>
              <w:rPr>
                <w:sz w:val="20"/>
                <w:lang w:val="en-NZ"/>
              </w:rPr>
            </w:pPr>
          </w:p>
        </w:tc>
        <w:tc>
          <w:tcPr>
            <w:tcW w:w="1137" w:type="pct"/>
            <w:vMerge/>
          </w:tcPr>
          <w:p w14:paraId="303AABAE" w14:textId="77777777" w:rsidR="00C5498E" w:rsidRPr="00B6047A" w:rsidRDefault="00C5498E" w:rsidP="00764CC3">
            <w:pPr>
              <w:spacing w:after="200" w:line="280" w:lineRule="exact"/>
              <w:rPr>
                <w:sz w:val="20"/>
                <w:lang w:val="en-NZ"/>
              </w:rPr>
            </w:pPr>
          </w:p>
        </w:tc>
        <w:tc>
          <w:tcPr>
            <w:tcW w:w="1629" w:type="pct"/>
            <w:vAlign w:val="center"/>
          </w:tcPr>
          <w:p w14:paraId="55D90A40"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Research pathways and proposed research must be co-designed with Māori to ensure they meet the needs of the Māori population and are guided by Māori health research experts to areas that may provide the greatest positive impacts.</w:t>
            </w:r>
          </w:p>
        </w:tc>
        <w:tc>
          <w:tcPr>
            <w:tcW w:w="584" w:type="pct"/>
            <w:vAlign w:val="center"/>
          </w:tcPr>
          <w:p w14:paraId="026B2381"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p>
        </w:tc>
        <w:tc>
          <w:tcPr>
            <w:tcW w:w="549" w:type="pct"/>
            <w:shd w:val="clear" w:color="auto" w:fill="FFCB7D"/>
            <w:vAlign w:val="center"/>
          </w:tcPr>
          <w:p w14:paraId="633DAEB4" w14:textId="77777777" w:rsidR="00C5498E" w:rsidRPr="00B6047A" w:rsidRDefault="00C5498E" w:rsidP="00764CC3">
            <w:pPr>
              <w:spacing w:after="200" w:line="280" w:lineRule="exact"/>
              <w:rPr>
                <w:rFonts w:ascii="Century Gothic" w:eastAsia="Century Gothic" w:hAnsi="Century Gothic" w:cs="Century Gothic"/>
                <w:color w:val="202124"/>
                <w:sz w:val="20"/>
                <w:lang w:val="en-NZ"/>
              </w:rPr>
            </w:pPr>
          </w:p>
          <w:p w14:paraId="50641AFD"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2B6C4676" w14:textId="77777777" w:rsidR="00C5498E" w:rsidRPr="00B6047A" w:rsidRDefault="00C5498E" w:rsidP="00764CC3">
            <w:pPr>
              <w:spacing w:after="200" w:line="280" w:lineRule="exact"/>
              <w:rPr>
                <w:rFonts w:ascii="Century Gothic" w:eastAsia="Century Gothic" w:hAnsi="Century Gothic" w:cs="Century Gothic"/>
                <w:color w:val="202124"/>
                <w:sz w:val="20"/>
                <w:lang w:val="en-NZ"/>
              </w:rPr>
            </w:pPr>
          </w:p>
          <w:p w14:paraId="73D7DB94"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C5498E" w:rsidRPr="00B6047A" w14:paraId="3965F653" w14:textId="77777777" w:rsidTr="00764CC3">
        <w:trPr>
          <w:trHeight w:val="707"/>
        </w:trPr>
        <w:tc>
          <w:tcPr>
            <w:tcW w:w="594" w:type="pct"/>
            <w:vMerge/>
          </w:tcPr>
          <w:p w14:paraId="66022591" w14:textId="77777777" w:rsidR="00C5498E" w:rsidRPr="00B6047A" w:rsidRDefault="00C5498E" w:rsidP="00764CC3">
            <w:pPr>
              <w:spacing w:after="200" w:line="280" w:lineRule="exact"/>
              <w:rPr>
                <w:sz w:val="20"/>
                <w:lang w:val="en-NZ"/>
              </w:rPr>
            </w:pPr>
          </w:p>
        </w:tc>
        <w:tc>
          <w:tcPr>
            <w:tcW w:w="1137" w:type="pct"/>
            <w:vMerge/>
          </w:tcPr>
          <w:p w14:paraId="7B680BBB" w14:textId="77777777" w:rsidR="00C5498E" w:rsidRPr="00B6047A" w:rsidRDefault="00C5498E" w:rsidP="00764CC3">
            <w:pPr>
              <w:spacing w:after="200" w:line="280" w:lineRule="exact"/>
              <w:rPr>
                <w:sz w:val="20"/>
                <w:lang w:val="en-NZ"/>
              </w:rPr>
            </w:pPr>
          </w:p>
        </w:tc>
        <w:tc>
          <w:tcPr>
            <w:tcW w:w="1629" w:type="pct"/>
            <w:vAlign w:val="center"/>
          </w:tcPr>
          <w:p w14:paraId="6196FFE4"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Māori leadership will be provided to determine the stewardship, use, control and safety of data and other information.</w:t>
            </w:r>
          </w:p>
        </w:tc>
        <w:tc>
          <w:tcPr>
            <w:tcW w:w="584" w:type="pct"/>
            <w:vAlign w:val="center"/>
          </w:tcPr>
          <w:p w14:paraId="78E3AA83"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p>
        </w:tc>
        <w:tc>
          <w:tcPr>
            <w:tcW w:w="549" w:type="pct"/>
            <w:vAlign w:val="center"/>
          </w:tcPr>
          <w:p w14:paraId="511157E1"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p>
        </w:tc>
        <w:tc>
          <w:tcPr>
            <w:tcW w:w="507" w:type="pct"/>
            <w:shd w:val="clear" w:color="auto" w:fill="FFCCCC"/>
            <w:vAlign w:val="center"/>
          </w:tcPr>
          <w:p w14:paraId="216528FC" w14:textId="77777777" w:rsidR="00C5498E" w:rsidRPr="00B6047A" w:rsidRDefault="00C5498E" w:rsidP="00764CC3">
            <w:pPr>
              <w:spacing w:after="200" w:line="280" w:lineRule="exact"/>
              <w:rPr>
                <w:rFonts w:ascii="Century Gothic" w:eastAsia="Century Gothic" w:hAnsi="Century Gothic" w:cs="Century Gothic"/>
                <w:color w:val="202124"/>
                <w:sz w:val="20"/>
                <w:lang w:val="en-NZ"/>
              </w:rPr>
            </w:pPr>
          </w:p>
          <w:p w14:paraId="40E201A5"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r w:rsidRPr="00B6047A">
              <w:rPr>
                <w:rFonts w:ascii="Century Gothic" w:eastAsia="Century Gothic" w:hAnsi="Century Gothic" w:cs="Century Gothic"/>
                <w:color w:val="202124"/>
                <w:sz w:val="20"/>
                <w:lang w:val="en-NZ"/>
              </w:rPr>
              <w:t>3.1</w:t>
            </w:r>
          </w:p>
        </w:tc>
      </w:tr>
      <w:tr w:rsidR="00C5498E" w:rsidRPr="00B6047A" w14:paraId="2322A220" w14:textId="77777777" w:rsidTr="00764CC3">
        <w:trPr>
          <w:trHeight w:val="707"/>
        </w:trPr>
        <w:tc>
          <w:tcPr>
            <w:tcW w:w="594" w:type="pct"/>
            <w:vMerge/>
          </w:tcPr>
          <w:p w14:paraId="17A7B0C3" w14:textId="77777777" w:rsidR="00C5498E" w:rsidRPr="00B6047A" w:rsidRDefault="00C5498E" w:rsidP="00764CC3">
            <w:pPr>
              <w:spacing w:after="200" w:line="280" w:lineRule="exact"/>
              <w:rPr>
                <w:sz w:val="20"/>
                <w:lang w:val="en-NZ"/>
              </w:rPr>
            </w:pPr>
          </w:p>
        </w:tc>
        <w:tc>
          <w:tcPr>
            <w:tcW w:w="1137" w:type="pct"/>
            <w:vMerge/>
          </w:tcPr>
          <w:p w14:paraId="1734DDD1" w14:textId="77777777" w:rsidR="00C5498E" w:rsidRPr="00B6047A" w:rsidRDefault="00C5498E" w:rsidP="00764CC3">
            <w:pPr>
              <w:spacing w:after="200" w:line="280" w:lineRule="exact"/>
              <w:rPr>
                <w:sz w:val="20"/>
                <w:lang w:val="en-NZ"/>
              </w:rPr>
            </w:pPr>
          </w:p>
        </w:tc>
        <w:tc>
          <w:tcPr>
            <w:tcW w:w="1629" w:type="pct"/>
            <w:vAlign w:val="center"/>
          </w:tcPr>
          <w:p w14:paraId="622E5E82" w14:textId="77777777" w:rsidR="00C5498E" w:rsidRPr="00B6047A" w:rsidRDefault="00C5498E" w:rsidP="00764CC3">
            <w:pPr>
              <w:ind w:left="34"/>
              <w:contextualSpacing/>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The partnership must be grounded in a Tiriti framework that is consistent with a Māori worldview and one that enhances the mana of all.</w:t>
            </w:r>
          </w:p>
        </w:tc>
        <w:tc>
          <w:tcPr>
            <w:tcW w:w="584" w:type="pct"/>
            <w:vAlign w:val="center"/>
          </w:tcPr>
          <w:p w14:paraId="27EC9B49" w14:textId="77777777" w:rsidR="00C5498E" w:rsidRPr="00B6047A" w:rsidRDefault="00C5498E" w:rsidP="00764CC3">
            <w:pPr>
              <w:spacing w:after="200" w:line="280" w:lineRule="exact"/>
              <w:jc w:val="center"/>
              <w:rPr>
                <w:rFonts w:ascii="Century Gothic" w:eastAsia="Century Gothic" w:hAnsi="Century Gothic" w:cs="Century Gothic"/>
                <w:color w:val="000000"/>
                <w:sz w:val="20"/>
                <w:lang w:val="en-NZ"/>
              </w:rPr>
            </w:pPr>
          </w:p>
        </w:tc>
        <w:tc>
          <w:tcPr>
            <w:tcW w:w="549" w:type="pct"/>
            <w:shd w:val="clear" w:color="auto" w:fill="FFCB7D"/>
            <w:vAlign w:val="center"/>
          </w:tcPr>
          <w:p w14:paraId="3B0E153D"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2.3</w:t>
            </w:r>
          </w:p>
        </w:tc>
        <w:tc>
          <w:tcPr>
            <w:tcW w:w="507" w:type="pct"/>
            <w:shd w:val="clear" w:color="auto" w:fill="FFCCCC"/>
            <w:vAlign w:val="center"/>
          </w:tcPr>
          <w:p w14:paraId="26519735" w14:textId="77777777" w:rsidR="00C5498E" w:rsidRPr="00B6047A" w:rsidRDefault="00C5498E" w:rsidP="00764CC3">
            <w:pPr>
              <w:spacing w:after="200" w:line="280" w:lineRule="exact"/>
              <w:jc w:val="center"/>
              <w:rPr>
                <w:rFonts w:ascii="Century Gothic" w:eastAsia="Century Gothic" w:hAnsi="Century Gothic" w:cs="Century Gothic"/>
                <w:color w:val="202124"/>
                <w:sz w:val="20"/>
                <w:lang w:val="en-NZ"/>
              </w:rPr>
            </w:pPr>
            <w:r w:rsidRPr="00B6047A">
              <w:rPr>
                <w:rFonts w:ascii="Century Gothic" w:eastAsia="Century Gothic" w:hAnsi="Century Gothic" w:cs="Century Gothic"/>
                <w:color w:val="202124"/>
                <w:sz w:val="20"/>
                <w:lang w:val="en-NZ"/>
              </w:rPr>
              <w:t>3.1</w:t>
            </w:r>
          </w:p>
        </w:tc>
      </w:tr>
    </w:tbl>
    <w:p w14:paraId="02B25F40" w14:textId="77777777" w:rsidR="00C5498E" w:rsidRPr="00B6047A" w:rsidRDefault="00C5498E" w:rsidP="00C5498E">
      <w:pPr>
        <w:spacing w:after="120" w:line="280" w:lineRule="exact"/>
        <w:jc w:val="both"/>
        <w:rPr>
          <w:rFonts w:ascii="Century Gothic" w:eastAsia="Century Gothic" w:hAnsi="Century Gothic" w:cs="Century Gothic"/>
          <w:sz w:val="20"/>
          <w:lang w:val="en-NZ"/>
        </w:rPr>
      </w:pPr>
    </w:p>
    <w:p w14:paraId="0FFCC184"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GB"/>
        </w:rPr>
        <w:t>1.1 There are Māori voices involved in research proposal assessment and priority setting; in most cases this will be sufficient to fulfil this requirement.</w:t>
      </w:r>
    </w:p>
    <w:p w14:paraId="6E989F52"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1.2  Lead researchers are encouraged, where possible, to consider employing Māori researchers or developing Māori capability.</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There is no obligation to meet this requirement.</w:t>
      </w:r>
    </w:p>
    <w:p w14:paraId="702510BC"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lastRenderedPageBreak/>
        <w:t>2.1  The Kaiārahi position will advise on (a) the necessary considerations in the research proposal (these considerations can be the subject of consultation with research leads); and (b) a pathway to ensure that Māori voices are equally heard in governance and decision-making settings.</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To some extent, this is covered by having Māori voices in research assessment.</w:t>
      </w:r>
    </w:p>
    <w:p w14:paraId="58FFF78D"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2.2  Engaging both parties can bring to light the protocols and kawa needed.</w:t>
      </w:r>
    </w:p>
    <w:p w14:paraId="6EC8D4C8"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2.3  Specific groups or individuals who can work with researchers need to be identified.</w:t>
      </w:r>
      <w:r>
        <w:rPr>
          <w:rFonts w:ascii="Century Gothic" w:eastAsia="Century Gothic" w:hAnsi="Century Gothic" w:cs="Century Gothic"/>
          <w:sz w:val="20"/>
          <w:lang w:val="en-NZ"/>
        </w:rPr>
        <w:t xml:space="preserve"> </w:t>
      </w:r>
      <w:r w:rsidRPr="00B6047A">
        <w:rPr>
          <w:rFonts w:ascii="Century Gothic" w:eastAsia="Century Gothic" w:hAnsi="Century Gothic" w:cs="Century Gothic"/>
          <w:sz w:val="20"/>
          <w:lang w:val="en-NZ"/>
        </w:rPr>
        <w:t xml:space="preserve"> Consideration for renumeration for involvement should be given.</w:t>
      </w:r>
    </w:p>
    <w:p w14:paraId="2997E076" w14:textId="77777777" w:rsidR="00C5498E" w:rsidRPr="00B6047A" w:rsidRDefault="00C5498E" w:rsidP="00C5498E">
      <w:pPr>
        <w:spacing w:after="200" w:line="280" w:lineRule="exact"/>
        <w:rPr>
          <w:rFonts w:ascii="Century Gothic" w:eastAsia="Century Gothic" w:hAnsi="Century Gothic" w:cs="Century Gothic"/>
          <w:sz w:val="20"/>
          <w:lang w:val="en-NZ"/>
        </w:rPr>
      </w:pPr>
      <w:r w:rsidRPr="00B6047A">
        <w:rPr>
          <w:rFonts w:ascii="Century Gothic" w:eastAsia="Century Gothic" w:hAnsi="Century Gothic" w:cs="Century Gothic"/>
          <w:sz w:val="20"/>
          <w:lang w:val="en-NZ"/>
        </w:rPr>
        <w:t>3.1  Refer to diagram ‘End to End Research Process’ in Appendix 2 for guidance.</w:t>
      </w:r>
    </w:p>
    <w:p w14:paraId="428AE69C" w14:textId="77777777" w:rsidR="00C5498E" w:rsidRDefault="00C5498E" w:rsidP="00C5498E">
      <w:pPr>
        <w:rPr>
          <w:rFonts w:ascii="Arial" w:hAnsi="Arial" w:cs="Arial"/>
          <w:b/>
          <w:bCs/>
          <w:sz w:val="28"/>
          <w:szCs w:val="28"/>
        </w:rPr>
      </w:pPr>
    </w:p>
    <w:p w14:paraId="65BDBD0B" w14:textId="77777777" w:rsidR="00C5498E" w:rsidRDefault="00C5498E" w:rsidP="00C5498E">
      <w:pPr>
        <w:rPr>
          <w:rFonts w:ascii="Arial" w:hAnsi="Arial" w:cs="Arial"/>
          <w:b/>
          <w:bCs/>
          <w:sz w:val="28"/>
          <w:szCs w:val="28"/>
        </w:rPr>
      </w:pPr>
    </w:p>
    <w:p w14:paraId="062E77CB" w14:textId="77777777" w:rsidR="00C5498E" w:rsidRDefault="00C5498E" w:rsidP="00C5498E">
      <w:pPr>
        <w:rPr>
          <w:rFonts w:ascii="Arial" w:hAnsi="Arial" w:cs="Arial"/>
          <w:b/>
          <w:bCs/>
          <w:sz w:val="28"/>
          <w:szCs w:val="28"/>
        </w:rPr>
        <w:sectPr w:rsidR="00C5498E" w:rsidSect="00C5498E">
          <w:pgSz w:w="16839" w:h="11907" w:orient="landscape" w:code="9"/>
          <w:pgMar w:top="1440" w:right="1440" w:bottom="1440" w:left="1440" w:header="708" w:footer="708" w:gutter="0"/>
          <w:cols w:space="708"/>
          <w:docGrid w:linePitch="326"/>
        </w:sectPr>
      </w:pPr>
    </w:p>
    <w:p w14:paraId="01BD1629" w14:textId="77777777" w:rsidR="005D0102" w:rsidRDefault="005D0102" w:rsidP="005D0102">
      <w:pPr>
        <w:rPr>
          <w:rFonts w:ascii="Arial" w:hAnsi="Arial" w:cs="Arial"/>
          <w:b/>
          <w:bCs/>
          <w:sz w:val="28"/>
          <w:szCs w:val="28"/>
          <w:lang w:val="en-US"/>
        </w:rPr>
      </w:pPr>
    </w:p>
    <w:p w14:paraId="1B64C6F5" w14:textId="77777777" w:rsidR="005D0102" w:rsidRDefault="005D0102" w:rsidP="005D0102">
      <w:pPr>
        <w:rPr>
          <w:rFonts w:ascii="Arial" w:hAnsi="Arial" w:cs="Arial"/>
          <w:b/>
          <w:bCs/>
          <w:sz w:val="28"/>
          <w:szCs w:val="28"/>
          <w:lang w:val="en-US"/>
        </w:rPr>
      </w:pPr>
    </w:p>
    <w:p w14:paraId="7E76F552" w14:textId="4E07C6DC" w:rsidR="005D0102" w:rsidRPr="0016019A" w:rsidRDefault="005D0102" w:rsidP="005D0102">
      <w:pPr>
        <w:rPr>
          <w:rFonts w:ascii="Arial" w:eastAsia="Times New Roman" w:hAnsi="Arial" w:cs="Arial"/>
          <w:b/>
          <w:bCs/>
          <w:color w:val="000000"/>
          <w:sz w:val="28"/>
          <w:szCs w:val="28"/>
          <w:lang w:eastAsia="en-GB"/>
        </w:rPr>
      </w:pPr>
      <w:r>
        <w:rPr>
          <w:rFonts w:ascii="Arial" w:hAnsi="Arial" w:cs="Arial"/>
          <w:b/>
          <w:bCs/>
          <w:sz w:val="28"/>
          <w:szCs w:val="28"/>
          <w:lang w:val="en-US"/>
        </w:rPr>
        <w:t xml:space="preserve">Appendix 4 - </w:t>
      </w:r>
      <w:r w:rsidRPr="0016019A">
        <w:rPr>
          <w:rFonts w:ascii="Arial" w:hAnsi="Arial" w:cs="Arial"/>
          <w:b/>
          <w:bCs/>
          <w:sz w:val="28"/>
          <w:szCs w:val="28"/>
          <w:lang w:val="en-US"/>
        </w:rPr>
        <w:t xml:space="preserve">Guidelines for </w:t>
      </w:r>
      <w:r w:rsidRPr="0016019A">
        <w:rPr>
          <w:rFonts w:ascii="Arial" w:hAnsi="Arial" w:cs="Arial"/>
          <w:b/>
          <w:bCs/>
          <w:color w:val="000000"/>
          <w:sz w:val="28"/>
          <w:szCs w:val="28"/>
          <w:lang w:val="en-GB"/>
        </w:rPr>
        <w:t>Māori and Pacific Health Advancement</w:t>
      </w:r>
    </w:p>
    <w:p w14:paraId="34AE4479" w14:textId="77777777" w:rsidR="005D0102" w:rsidRDefault="005D0102" w:rsidP="005D0102">
      <w:pPr>
        <w:rPr>
          <w:rFonts w:ascii="Arial" w:hAnsi="Arial" w:cs="Arial"/>
          <w:sz w:val="22"/>
          <w:szCs w:val="22"/>
        </w:rPr>
      </w:pPr>
    </w:p>
    <w:p w14:paraId="1C85AF33" w14:textId="77777777" w:rsidR="005D0102" w:rsidRPr="00470629" w:rsidRDefault="005D0102" w:rsidP="005D0102">
      <w:pPr>
        <w:rPr>
          <w:rFonts w:ascii="Arial" w:hAnsi="Arial" w:cs="Arial"/>
          <w:sz w:val="22"/>
          <w:szCs w:val="22"/>
          <w:lang w:val="en-US"/>
        </w:rPr>
      </w:pPr>
      <w:r w:rsidRPr="00470629">
        <w:rPr>
          <w:rFonts w:ascii="Arial" w:hAnsi="Arial" w:cs="Arial"/>
          <w:sz w:val="22"/>
          <w:szCs w:val="22"/>
          <w:lang w:val="en-US"/>
        </w:rPr>
        <w:t>We understand that there are many types of science in the MWC and that some of the factors below might be relevant for your project:</w:t>
      </w:r>
    </w:p>
    <w:p w14:paraId="4F9EF7D1" w14:textId="77777777" w:rsidR="005D0102" w:rsidRPr="00470629" w:rsidRDefault="005D0102" w:rsidP="00DC000B">
      <w:pPr>
        <w:pStyle w:val="ListParagraph"/>
        <w:numPr>
          <w:ilvl w:val="0"/>
          <w:numId w:val="7"/>
        </w:numPr>
        <w:spacing w:after="240"/>
        <w:contextualSpacing/>
        <w:jc w:val="both"/>
        <w:rPr>
          <w:rFonts w:ascii="Arial" w:eastAsia="Century Gothic" w:hAnsi="Arial" w:cs="Arial"/>
          <w:sz w:val="22"/>
          <w:szCs w:val="22"/>
          <w:lang w:val="en-GB"/>
        </w:rPr>
      </w:pPr>
      <w:r w:rsidRPr="00470629">
        <w:rPr>
          <w:rFonts w:ascii="Arial" w:eastAsia="Century Gothic" w:hAnsi="Arial" w:cs="Arial"/>
          <w:sz w:val="22"/>
          <w:szCs w:val="22"/>
          <w:lang w:val="en-GB"/>
        </w:rPr>
        <w:t xml:space="preserve">Does the research </w:t>
      </w:r>
      <w:r w:rsidRPr="00470629">
        <w:rPr>
          <w:rFonts w:ascii="Arial" w:eastAsia="Century Gothic" w:hAnsi="Arial" w:cs="Arial"/>
          <w:i/>
          <w:iCs/>
          <w:sz w:val="22"/>
          <w:szCs w:val="22"/>
          <w:lang w:val="en-GB"/>
        </w:rPr>
        <w:t xml:space="preserve">involve </w:t>
      </w:r>
      <w:r w:rsidRPr="00470629">
        <w:rPr>
          <w:rFonts w:ascii="Arial" w:eastAsia="Century Gothic" w:hAnsi="Arial" w:cs="Arial"/>
          <w:sz w:val="22"/>
          <w:szCs w:val="22"/>
          <w:lang w:val="en-GB"/>
        </w:rPr>
        <w:t>Māori?</w:t>
      </w:r>
      <w:r>
        <w:rPr>
          <w:rFonts w:ascii="Arial" w:eastAsia="Century Gothic" w:hAnsi="Arial" w:cs="Arial"/>
          <w:sz w:val="22"/>
          <w:szCs w:val="22"/>
          <w:lang w:val="en-GB"/>
        </w:rPr>
        <w:t xml:space="preserve"> </w:t>
      </w:r>
      <w:r w:rsidRPr="00470629">
        <w:rPr>
          <w:rFonts w:ascii="Arial" w:eastAsia="Century Gothic" w:hAnsi="Arial" w:cs="Arial"/>
          <w:sz w:val="22"/>
          <w:szCs w:val="22"/>
          <w:lang w:val="en-GB"/>
        </w:rPr>
        <w:t xml:space="preserve"> Involve could mean that Māori, whether individually or collectively, participate in the research’s design or undertaking; That the research utilises mātauranga Māori, usually in a minor way, in its design and undertaking; or That the research contributes to or is expected to contribute to Māori (iwi/hapū/whānau/etc) aspirations and outcomes.</w:t>
      </w:r>
    </w:p>
    <w:p w14:paraId="2095E0EC" w14:textId="77777777" w:rsidR="005D0102" w:rsidRPr="00470629" w:rsidRDefault="005D0102" w:rsidP="00DC000B">
      <w:pPr>
        <w:pStyle w:val="ListParagraph"/>
        <w:numPr>
          <w:ilvl w:val="0"/>
          <w:numId w:val="7"/>
        </w:numPr>
        <w:contextualSpacing/>
        <w:rPr>
          <w:rFonts w:ascii="Arial" w:hAnsi="Arial" w:cs="Arial"/>
          <w:sz w:val="22"/>
          <w:szCs w:val="22"/>
          <w:lang w:val="en-US"/>
        </w:rPr>
      </w:pPr>
      <w:r w:rsidRPr="00470629">
        <w:rPr>
          <w:rFonts w:ascii="Arial" w:hAnsi="Arial" w:cs="Arial"/>
          <w:sz w:val="22"/>
          <w:szCs w:val="22"/>
          <w:lang w:val="en-US"/>
        </w:rPr>
        <w:t>If you have a direct line of sight to a beneficial outcome, assuming your research is successful, how and where might it impact Māori?</w:t>
      </w:r>
      <w:r>
        <w:rPr>
          <w:rFonts w:ascii="Arial" w:hAnsi="Arial" w:cs="Arial"/>
          <w:sz w:val="22"/>
          <w:szCs w:val="22"/>
          <w:lang w:val="en-US"/>
        </w:rPr>
        <w:t xml:space="preserve"> </w:t>
      </w:r>
      <w:r w:rsidRPr="00470629">
        <w:rPr>
          <w:rFonts w:ascii="Arial" w:hAnsi="Arial" w:cs="Arial"/>
          <w:sz w:val="22"/>
          <w:szCs w:val="22"/>
          <w:lang w:val="en-US"/>
        </w:rPr>
        <w:t xml:space="preserve"> What might the long-term benefits be?</w:t>
      </w:r>
      <w:r>
        <w:rPr>
          <w:rFonts w:ascii="Arial" w:hAnsi="Arial" w:cs="Arial"/>
          <w:sz w:val="22"/>
          <w:szCs w:val="22"/>
          <w:lang w:val="en-US"/>
        </w:rPr>
        <w:t xml:space="preserve"> </w:t>
      </w:r>
      <w:r w:rsidRPr="00470629">
        <w:rPr>
          <w:rFonts w:ascii="Arial" w:hAnsi="Arial" w:cs="Arial"/>
          <w:sz w:val="22"/>
          <w:szCs w:val="22"/>
          <w:lang w:val="en-US"/>
        </w:rPr>
        <w:t xml:space="preserve"> Will or could Māori be impacted?</w:t>
      </w:r>
      <w:r>
        <w:rPr>
          <w:rFonts w:ascii="Arial" w:hAnsi="Arial" w:cs="Arial"/>
          <w:sz w:val="22"/>
          <w:szCs w:val="22"/>
          <w:lang w:val="en-US"/>
        </w:rPr>
        <w:t xml:space="preserve"> </w:t>
      </w:r>
      <w:r w:rsidRPr="00470629">
        <w:rPr>
          <w:rFonts w:ascii="Arial" w:hAnsi="Arial" w:cs="Arial"/>
          <w:sz w:val="22"/>
          <w:szCs w:val="22"/>
          <w:lang w:val="en-US"/>
        </w:rPr>
        <w:t xml:space="preserve"> What is the potential for benefits and what might be needed outside of your research to ensure such benefits?</w:t>
      </w:r>
      <w:r>
        <w:rPr>
          <w:rFonts w:ascii="Arial" w:hAnsi="Arial" w:cs="Arial"/>
          <w:sz w:val="22"/>
          <w:szCs w:val="22"/>
          <w:lang w:val="en-US"/>
        </w:rPr>
        <w:t xml:space="preserve"> </w:t>
      </w:r>
      <w:r w:rsidRPr="00470629">
        <w:rPr>
          <w:rFonts w:ascii="Arial" w:hAnsi="Arial" w:cs="Arial"/>
          <w:sz w:val="22"/>
          <w:szCs w:val="22"/>
          <w:lang w:val="en-US"/>
        </w:rPr>
        <w:t xml:space="preserve"> While this sits outside the scope of your research it provides Māori evaluators a broader contextuali</w:t>
      </w:r>
      <w:r>
        <w:rPr>
          <w:rFonts w:ascii="Arial" w:hAnsi="Arial" w:cs="Arial"/>
          <w:sz w:val="22"/>
          <w:szCs w:val="22"/>
          <w:lang w:val="en-US"/>
        </w:rPr>
        <w:t>s</w:t>
      </w:r>
      <w:r w:rsidRPr="00470629">
        <w:rPr>
          <w:rFonts w:ascii="Arial" w:hAnsi="Arial" w:cs="Arial"/>
          <w:sz w:val="22"/>
          <w:szCs w:val="22"/>
          <w:lang w:val="en-US"/>
        </w:rPr>
        <w:t>ation regarding how the research might increase benefits and risks to Māori communities.</w:t>
      </w:r>
    </w:p>
    <w:p w14:paraId="30E288F7" w14:textId="77777777" w:rsidR="005D0102" w:rsidRPr="00470629" w:rsidRDefault="005D0102" w:rsidP="00DC000B">
      <w:pPr>
        <w:pStyle w:val="ListParagraph"/>
        <w:numPr>
          <w:ilvl w:val="0"/>
          <w:numId w:val="7"/>
        </w:numPr>
        <w:contextualSpacing/>
        <w:rPr>
          <w:rFonts w:ascii="Arial" w:hAnsi="Arial" w:cs="Arial"/>
          <w:sz w:val="22"/>
          <w:szCs w:val="22"/>
          <w:lang w:val="en-US"/>
        </w:rPr>
      </w:pPr>
      <w:r w:rsidRPr="00470629">
        <w:rPr>
          <w:rFonts w:ascii="Arial" w:hAnsi="Arial" w:cs="Arial"/>
          <w:sz w:val="22"/>
          <w:szCs w:val="22"/>
          <w:lang w:val="en-US"/>
        </w:rPr>
        <w:t xml:space="preserve">If you do not have a direct line of sight to a beneficial outcome (for example, if you are conducting research that builds, rather than applies knowledge), how does this research add to body of knowledge that might </w:t>
      </w:r>
      <w:r w:rsidRPr="00470629">
        <w:rPr>
          <w:rFonts w:ascii="Arial" w:hAnsi="Arial" w:cs="Arial"/>
          <w:i/>
          <w:iCs/>
          <w:sz w:val="22"/>
          <w:szCs w:val="22"/>
          <w:lang w:val="en-US"/>
        </w:rPr>
        <w:t>then</w:t>
      </w:r>
      <w:r w:rsidRPr="00470629">
        <w:rPr>
          <w:rFonts w:ascii="Arial" w:hAnsi="Arial" w:cs="Arial"/>
          <w:sz w:val="22"/>
          <w:szCs w:val="22"/>
          <w:lang w:val="en-US"/>
        </w:rPr>
        <w:t xml:space="preserve"> lead to future applications?</w:t>
      </w:r>
      <w:r>
        <w:rPr>
          <w:rFonts w:ascii="Arial" w:hAnsi="Arial" w:cs="Arial"/>
          <w:sz w:val="22"/>
          <w:szCs w:val="22"/>
          <w:lang w:val="en-US"/>
        </w:rPr>
        <w:t xml:space="preserve"> </w:t>
      </w:r>
      <w:r w:rsidRPr="00470629">
        <w:rPr>
          <w:rFonts w:ascii="Arial" w:hAnsi="Arial" w:cs="Arial"/>
          <w:sz w:val="22"/>
          <w:szCs w:val="22"/>
          <w:lang w:val="en-US"/>
        </w:rPr>
        <w:t xml:space="preserve"> We understand that this is speculative but consider thinking broadly about why building this knowledge or understanding is important to humanity, including Te Ao Māori.</w:t>
      </w:r>
    </w:p>
    <w:p w14:paraId="7DAD2D4A" w14:textId="77777777" w:rsidR="005D0102" w:rsidRPr="00470629" w:rsidRDefault="005D0102" w:rsidP="00DC000B">
      <w:pPr>
        <w:pStyle w:val="ListParagraph"/>
        <w:numPr>
          <w:ilvl w:val="0"/>
          <w:numId w:val="7"/>
        </w:numPr>
        <w:contextualSpacing/>
        <w:rPr>
          <w:rFonts w:ascii="Arial" w:hAnsi="Arial" w:cs="Arial"/>
          <w:sz w:val="22"/>
          <w:szCs w:val="22"/>
          <w:lang w:val="en-US"/>
        </w:rPr>
      </w:pPr>
      <w:r w:rsidRPr="00470629">
        <w:rPr>
          <w:rFonts w:ascii="Arial" w:hAnsi="Arial" w:cs="Arial"/>
          <w:sz w:val="22"/>
          <w:szCs w:val="22"/>
          <w:lang w:val="en-US"/>
        </w:rPr>
        <w:t>Whether or not there is a direct line of sight to outcomes, alternative relevance to Māori can be considered – for example how are Māori involved in the research?</w:t>
      </w:r>
      <w:r>
        <w:rPr>
          <w:rFonts w:ascii="Arial" w:hAnsi="Arial" w:cs="Arial"/>
          <w:sz w:val="22"/>
          <w:szCs w:val="22"/>
          <w:lang w:val="en-US"/>
        </w:rPr>
        <w:t xml:space="preserve"> </w:t>
      </w:r>
      <w:r w:rsidRPr="00470629">
        <w:rPr>
          <w:rFonts w:ascii="Arial" w:hAnsi="Arial" w:cs="Arial"/>
          <w:sz w:val="22"/>
          <w:szCs w:val="22"/>
          <w:lang w:val="en-US"/>
        </w:rPr>
        <w:t xml:space="preserve"> </w:t>
      </w:r>
      <w:r w:rsidRPr="00470629">
        <w:rPr>
          <w:rFonts w:ascii="Arial" w:hAnsi="Arial" w:cs="Arial"/>
          <w:color w:val="000000"/>
          <w:sz w:val="22"/>
          <w:szCs w:val="22"/>
          <w:lang w:val="en-GB"/>
        </w:rPr>
        <w:t>How will the research empower Māori and Pacific people – including workforce and communities.</w:t>
      </w:r>
      <w:r>
        <w:rPr>
          <w:rFonts w:ascii="Arial" w:hAnsi="Arial" w:cs="Arial"/>
          <w:color w:val="000000"/>
          <w:sz w:val="22"/>
          <w:szCs w:val="22"/>
          <w:lang w:val="en-GB"/>
        </w:rPr>
        <w:t xml:space="preserve"> </w:t>
      </w:r>
      <w:r w:rsidRPr="00470629">
        <w:rPr>
          <w:rFonts w:ascii="Arial" w:hAnsi="Arial" w:cs="Arial"/>
          <w:color w:val="000000"/>
          <w:sz w:val="22"/>
          <w:szCs w:val="22"/>
          <w:lang w:val="en-GB"/>
        </w:rPr>
        <w:t xml:space="preserve"> Applicants should give some consideration to if/how opportunities will be generated.</w:t>
      </w:r>
    </w:p>
    <w:p w14:paraId="77AF6D9C" w14:textId="5CA9871D" w:rsidR="005D0102" w:rsidRPr="00470629" w:rsidRDefault="005D0102" w:rsidP="00DC000B">
      <w:pPr>
        <w:pStyle w:val="ListParagraph"/>
        <w:numPr>
          <w:ilvl w:val="0"/>
          <w:numId w:val="7"/>
        </w:numPr>
        <w:contextualSpacing/>
        <w:rPr>
          <w:rFonts w:ascii="Arial" w:hAnsi="Arial" w:cs="Arial"/>
          <w:sz w:val="22"/>
          <w:szCs w:val="22"/>
          <w:lang w:val="en-US"/>
        </w:rPr>
      </w:pPr>
      <w:r w:rsidRPr="00470629">
        <w:rPr>
          <w:rFonts w:ascii="Arial" w:hAnsi="Arial" w:cs="Arial"/>
          <w:sz w:val="22"/>
          <w:szCs w:val="22"/>
          <w:lang w:val="en-US"/>
        </w:rPr>
        <w:t xml:space="preserve">If none at all (including no participation of Māori researchers…), then clearly state that up front.  Other questions may be relevant - </w:t>
      </w:r>
      <w:r w:rsidRPr="00470629">
        <w:rPr>
          <w:rFonts w:ascii="Arial" w:hAnsi="Arial" w:cs="Arial"/>
          <w:color w:val="000000"/>
          <w:sz w:val="22"/>
          <w:szCs w:val="22"/>
          <w:lang w:val="en-GB"/>
        </w:rPr>
        <w:t>is there a need for members of the research team to be proficient in te reo?</w:t>
      </w:r>
      <w:r>
        <w:rPr>
          <w:rFonts w:ascii="Arial" w:hAnsi="Arial" w:cs="Arial"/>
          <w:color w:val="000000"/>
          <w:sz w:val="22"/>
          <w:szCs w:val="22"/>
          <w:lang w:val="en-GB"/>
        </w:rPr>
        <w:t xml:space="preserve"> </w:t>
      </w:r>
      <w:r w:rsidRPr="00470629">
        <w:rPr>
          <w:rFonts w:ascii="Arial" w:hAnsi="Arial" w:cs="Arial"/>
          <w:color w:val="000000"/>
          <w:sz w:val="22"/>
          <w:szCs w:val="22"/>
          <w:lang w:val="en-GB"/>
        </w:rPr>
        <w:t xml:space="preserve"> How has this aspect been addressed?</w:t>
      </w:r>
      <w:r>
        <w:rPr>
          <w:rFonts w:ascii="Arial" w:hAnsi="Arial" w:cs="Arial"/>
          <w:color w:val="000000"/>
          <w:sz w:val="22"/>
          <w:szCs w:val="22"/>
          <w:lang w:val="en-GB"/>
        </w:rPr>
        <w:t xml:space="preserve"> </w:t>
      </w:r>
      <w:r w:rsidRPr="00470629">
        <w:rPr>
          <w:rFonts w:ascii="Arial" w:hAnsi="Arial" w:cs="Arial"/>
          <w:sz w:val="22"/>
          <w:szCs w:val="22"/>
          <w:lang w:val="en-GB"/>
        </w:rPr>
        <w:t xml:space="preserve"> If a gap exists, the researcher may pursue some form of self</w:t>
      </w:r>
      <w:r w:rsidR="00F12A89">
        <w:rPr>
          <w:rFonts w:ascii="Arial" w:hAnsi="Arial" w:cs="Arial"/>
          <w:sz w:val="22"/>
          <w:szCs w:val="22"/>
          <w:lang w:val="en-GB"/>
        </w:rPr>
        <w:t>-</w:t>
      </w:r>
      <w:r w:rsidRPr="00470629">
        <w:rPr>
          <w:rFonts w:ascii="Arial" w:hAnsi="Arial" w:cs="Arial"/>
          <w:sz w:val="22"/>
          <w:szCs w:val="22"/>
          <w:lang w:val="en-GB"/>
        </w:rPr>
        <w:t>development in Te Ao Maori.</w:t>
      </w:r>
      <w:r>
        <w:rPr>
          <w:rFonts w:ascii="Arial" w:hAnsi="Arial" w:cs="Arial"/>
          <w:sz w:val="22"/>
          <w:szCs w:val="22"/>
          <w:lang w:val="en-GB"/>
        </w:rPr>
        <w:t xml:space="preserve"> </w:t>
      </w:r>
      <w:r w:rsidRPr="00470629">
        <w:rPr>
          <w:rFonts w:ascii="Arial" w:hAnsi="Arial" w:cs="Arial"/>
          <w:sz w:val="22"/>
          <w:szCs w:val="22"/>
          <w:lang w:val="en-GB"/>
        </w:rPr>
        <w:t xml:space="preserve"> This could entail doing a Te Reo Maori foundation course, enrolling in a cultural training course.</w:t>
      </w:r>
      <w:r>
        <w:rPr>
          <w:rFonts w:ascii="Arial" w:hAnsi="Arial" w:cs="Arial"/>
          <w:sz w:val="22"/>
          <w:szCs w:val="22"/>
          <w:lang w:val="en-GB"/>
        </w:rPr>
        <w:t xml:space="preserve"> </w:t>
      </w:r>
      <w:r w:rsidRPr="00470629">
        <w:rPr>
          <w:rFonts w:ascii="Arial" w:hAnsi="Arial" w:cs="Arial"/>
          <w:sz w:val="22"/>
          <w:szCs w:val="22"/>
          <w:lang w:val="en-US"/>
        </w:rPr>
        <w:t xml:space="preserve"> These projects will not be held up for lack of engagement, and the information will provide MWC Board and Directors with data regarding Māori engagement across the breadth of MWC4.0.</w:t>
      </w:r>
      <w:r>
        <w:rPr>
          <w:rFonts w:ascii="Arial" w:hAnsi="Arial" w:cs="Arial"/>
          <w:sz w:val="22"/>
          <w:szCs w:val="22"/>
          <w:lang w:val="en-US"/>
        </w:rPr>
        <w:t xml:space="preserve"> </w:t>
      </w:r>
      <w:r w:rsidRPr="00470629">
        <w:rPr>
          <w:rFonts w:ascii="Arial" w:hAnsi="Arial" w:cs="Arial"/>
          <w:sz w:val="22"/>
          <w:szCs w:val="22"/>
          <w:lang w:val="en-US"/>
        </w:rPr>
        <w:t xml:space="preserve"> It will also help you to consider how your work enables the career development and aspirations of others, including Māori and Pacific Peoples.</w:t>
      </w:r>
    </w:p>
    <w:p w14:paraId="200CF215" w14:textId="27505F66" w:rsidR="005D0102" w:rsidRPr="00470629" w:rsidRDefault="005D0102" w:rsidP="00DC000B">
      <w:pPr>
        <w:pStyle w:val="ListParagraph"/>
        <w:numPr>
          <w:ilvl w:val="0"/>
          <w:numId w:val="7"/>
        </w:numPr>
        <w:contextualSpacing/>
        <w:rPr>
          <w:rFonts w:ascii="Arial" w:hAnsi="Arial" w:cs="Arial"/>
          <w:sz w:val="22"/>
          <w:szCs w:val="22"/>
          <w:lang w:val="en-US"/>
        </w:rPr>
      </w:pPr>
      <w:r w:rsidRPr="00470629">
        <w:rPr>
          <w:rFonts w:ascii="Arial" w:hAnsi="Arial" w:cs="Arial"/>
          <w:sz w:val="22"/>
          <w:szCs w:val="22"/>
          <w:lang w:val="en-US"/>
        </w:rPr>
        <w:t xml:space="preserve">In terms of benefits arising from research, any such benefits can be classified as </w:t>
      </w:r>
      <w:r w:rsidR="00F12A89">
        <w:rPr>
          <w:rFonts w:ascii="Arial" w:hAnsi="Arial" w:cs="Arial"/>
          <w:sz w:val="22"/>
          <w:szCs w:val="22"/>
          <w:lang w:val="en-US"/>
        </w:rPr>
        <w:t>follows</w:t>
      </w:r>
      <w:r w:rsidRPr="00470629">
        <w:rPr>
          <w:rFonts w:ascii="Arial" w:hAnsi="Arial" w:cs="Arial"/>
          <w:sz w:val="22"/>
          <w:szCs w:val="22"/>
          <w:lang w:val="en-US"/>
        </w:rPr>
        <w:t>.</w:t>
      </w:r>
      <w:r>
        <w:rPr>
          <w:rFonts w:ascii="Arial" w:hAnsi="Arial" w:cs="Arial"/>
          <w:sz w:val="22"/>
          <w:szCs w:val="22"/>
          <w:lang w:val="en-US"/>
        </w:rPr>
        <w:t xml:space="preserve"> </w:t>
      </w:r>
      <w:r w:rsidRPr="00470629">
        <w:rPr>
          <w:rFonts w:ascii="Arial" w:hAnsi="Arial" w:cs="Arial"/>
          <w:sz w:val="22"/>
          <w:szCs w:val="22"/>
          <w:lang w:val="en-US"/>
        </w:rPr>
        <w:t xml:space="preserve"> Basic science initiatives typically fall into the category of ‘</w:t>
      </w:r>
      <w:r w:rsidR="00F12A89">
        <w:rPr>
          <w:rFonts w:ascii="Arial" w:hAnsi="Arial" w:cs="Arial"/>
          <w:sz w:val="22"/>
          <w:szCs w:val="22"/>
          <w:lang w:val="en-US"/>
        </w:rPr>
        <w:t>i</w:t>
      </w:r>
      <w:r w:rsidRPr="00470629">
        <w:rPr>
          <w:rFonts w:ascii="Arial" w:hAnsi="Arial" w:cs="Arial"/>
          <w:sz w:val="22"/>
          <w:szCs w:val="22"/>
          <w:lang w:val="en-US"/>
        </w:rPr>
        <w:t>ncidental/indirect</w:t>
      </w:r>
      <w:r w:rsidR="00F12A89">
        <w:rPr>
          <w:rFonts w:ascii="Arial" w:hAnsi="Arial" w:cs="Arial"/>
          <w:sz w:val="22"/>
          <w:szCs w:val="22"/>
          <w:lang w:val="en-US"/>
        </w:rPr>
        <w:t xml:space="preserve"> benefit</w:t>
      </w:r>
      <w:r w:rsidRPr="00470629">
        <w:rPr>
          <w:rFonts w:ascii="Arial" w:hAnsi="Arial" w:cs="Arial"/>
          <w:sz w:val="22"/>
          <w:szCs w:val="22"/>
          <w:lang w:val="en-US"/>
        </w:rPr>
        <w:t xml:space="preserve">’ </w:t>
      </w:r>
      <w:r w:rsidR="00F12A89">
        <w:rPr>
          <w:rFonts w:ascii="Arial" w:hAnsi="Arial" w:cs="Arial"/>
          <w:sz w:val="22"/>
          <w:szCs w:val="22"/>
          <w:lang w:val="en-US"/>
        </w:rPr>
        <w:t xml:space="preserve">and </w:t>
      </w:r>
      <w:r w:rsidRPr="00470629">
        <w:rPr>
          <w:rFonts w:ascii="Arial" w:hAnsi="Arial" w:cs="Arial"/>
          <w:sz w:val="22"/>
          <w:szCs w:val="22"/>
          <w:lang w:val="en-US"/>
        </w:rPr>
        <w:t xml:space="preserve">thus generally weak potential to </w:t>
      </w:r>
      <w:r w:rsidR="00F12A89">
        <w:rPr>
          <w:rFonts w:ascii="Arial" w:hAnsi="Arial" w:cs="Arial"/>
          <w:sz w:val="22"/>
          <w:szCs w:val="22"/>
          <w:lang w:val="en-US"/>
        </w:rPr>
        <w:t xml:space="preserve">specifically </w:t>
      </w:r>
      <w:r w:rsidRPr="00470629">
        <w:rPr>
          <w:rFonts w:ascii="Arial" w:hAnsi="Arial" w:cs="Arial"/>
          <w:sz w:val="22"/>
          <w:szCs w:val="22"/>
          <w:lang w:val="en-US"/>
        </w:rPr>
        <w:t>benefit Māori.</w:t>
      </w:r>
      <w:r>
        <w:rPr>
          <w:rFonts w:ascii="Arial" w:hAnsi="Arial" w:cs="Arial"/>
          <w:sz w:val="22"/>
          <w:szCs w:val="22"/>
          <w:lang w:val="en-US"/>
        </w:rPr>
        <w:t xml:space="preserve"> </w:t>
      </w:r>
      <w:r w:rsidRPr="00470629">
        <w:rPr>
          <w:rFonts w:ascii="Arial" w:hAnsi="Arial" w:cs="Arial"/>
          <w:sz w:val="22"/>
          <w:szCs w:val="22"/>
          <w:lang w:val="en-US"/>
        </w:rPr>
        <w:t xml:space="preserve"> Nonetheless Māori can and often do benefit from such research, thus developing relationships with Māori can direct</w:t>
      </w:r>
      <w:r w:rsidR="00F12A89">
        <w:rPr>
          <w:rFonts w:ascii="Arial" w:hAnsi="Arial" w:cs="Arial"/>
          <w:sz w:val="22"/>
          <w:szCs w:val="22"/>
          <w:lang w:val="en-US"/>
        </w:rPr>
        <w:t>ly</w:t>
      </w:r>
      <w:r w:rsidRPr="00470629">
        <w:rPr>
          <w:rFonts w:ascii="Arial" w:hAnsi="Arial" w:cs="Arial"/>
          <w:sz w:val="22"/>
          <w:szCs w:val="22"/>
          <w:lang w:val="en-US"/>
        </w:rPr>
        <w:t xml:space="preserve"> influence the possibility of beneficial outcomes.</w:t>
      </w:r>
      <w:r>
        <w:rPr>
          <w:rFonts w:ascii="Arial" w:hAnsi="Arial" w:cs="Arial"/>
          <w:sz w:val="22"/>
          <w:szCs w:val="22"/>
          <w:lang w:val="en-US"/>
        </w:rPr>
        <w:t xml:space="preserve"> </w:t>
      </w:r>
      <w:r w:rsidRPr="00470629">
        <w:rPr>
          <w:rFonts w:ascii="Arial" w:hAnsi="Arial" w:cs="Arial"/>
          <w:sz w:val="22"/>
          <w:szCs w:val="22"/>
          <w:lang w:val="en-US"/>
        </w:rPr>
        <w:t xml:space="preserve"> Such relationships can be internal to the research team – e.g.,</w:t>
      </w:r>
      <w:r w:rsidR="00F12A89">
        <w:rPr>
          <w:rFonts w:ascii="Arial" w:hAnsi="Arial" w:cs="Arial"/>
          <w:sz w:val="22"/>
          <w:szCs w:val="22"/>
          <w:lang w:val="en-US"/>
        </w:rPr>
        <w:t xml:space="preserve"> the</w:t>
      </w:r>
      <w:r w:rsidRPr="00470629">
        <w:rPr>
          <w:rFonts w:ascii="Arial" w:hAnsi="Arial" w:cs="Arial"/>
          <w:sz w:val="22"/>
          <w:szCs w:val="22"/>
          <w:lang w:val="en-US"/>
        </w:rPr>
        <w:t xml:space="preserve"> training of Māori researchers.</w:t>
      </w:r>
      <w:r>
        <w:rPr>
          <w:rFonts w:ascii="Arial" w:hAnsi="Arial" w:cs="Arial"/>
          <w:sz w:val="22"/>
          <w:szCs w:val="22"/>
          <w:lang w:val="en-US"/>
        </w:rPr>
        <w:t xml:space="preserve"> </w:t>
      </w:r>
      <w:r w:rsidRPr="00470629">
        <w:rPr>
          <w:rFonts w:ascii="Arial" w:hAnsi="Arial" w:cs="Arial"/>
          <w:sz w:val="22"/>
          <w:szCs w:val="22"/>
          <w:lang w:val="en-US"/>
        </w:rPr>
        <w:t xml:space="preserve"> </w:t>
      </w:r>
      <w:r w:rsidRPr="00470629">
        <w:rPr>
          <w:rFonts w:ascii="Arial" w:hAnsi="Arial" w:cs="Arial"/>
          <w:color w:val="000000"/>
          <w:sz w:val="22"/>
          <w:szCs w:val="22"/>
          <w:lang w:val="en-GB"/>
        </w:rPr>
        <w:t>How might this research build new, or enhance existing, relationships with Māori? (for the MWC or individual researchers), To what extent have you discussed the research with Māori partners and agreed on the methodology you will use? (this could be existing partners in the MWC (N</w:t>
      </w:r>
      <w:r w:rsidR="00F12A89">
        <w:rPr>
          <w:rFonts w:ascii="Arial" w:hAnsi="Arial" w:cs="Arial"/>
          <w:color w:val="000000"/>
          <w:sz w:val="22"/>
          <w:szCs w:val="22"/>
          <w:lang w:val="en-GB"/>
        </w:rPr>
        <w:t>gāti Porou Oranga</w:t>
      </w:r>
      <w:r w:rsidRPr="00470629">
        <w:rPr>
          <w:rFonts w:ascii="Arial" w:hAnsi="Arial" w:cs="Arial"/>
          <w:color w:val="000000"/>
          <w:sz w:val="22"/>
          <w:szCs w:val="22"/>
          <w:lang w:val="en-GB"/>
        </w:rPr>
        <w:t xml:space="preserve">, </w:t>
      </w:r>
      <w:r w:rsidR="00F12A89">
        <w:rPr>
          <w:rFonts w:ascii="Arial" w:hAnsi="Arial" w:cs="Arial"/>
          <w:color w:val="000000"/>
          <w:sz w:val="22"/>
          <w:szCs w:val="22"/>
          <w:lang w:val="en-GB"/>
        </w:rPr>
        <w:t>The Moko Foundation</w:t>
      </w:r>
      <w:r w:rsidRPr="00470629">
        <w:rPr>
          <w:rFonts w:ascii="Arial" w:hAnsi="Arial" w:cs="Arial"/>
          <w:color w:val="000000"/>
          <w:sz w:val="22"/>
          <w:szCs w:val="22"/>
          <w:lang w:val="en-GB"/>
        </w:rPr>
        <w:t>) or partners that they have established for the purpose of their specific research project.</w:t>
      </w:r>
      <w:r w:rsidR="00F12A89">
        <w:rPr>
          <w:rFonts w:ascii="Arial" w:hAnsi="Arial" w:cs="Arial"/>
          <w:color w:val="000000"/>
          <w:sz w:val="22"/>
          <w:szCs w:val="22"/>
          <w:lang w:val="en-GB"/>
        </w:rPr>
        <w:t>)</w:t>
      </w:r>
    </w:p>
    <w:p w14:paraId="2BAFE593" w14:textId="77777777" w:rsidR="005D0102" w:rsidRPr="00470629" w:rsidRDefault="005D0102" w:rsidP="00DC000B">
      <w:pPr>
        <w:pStyle w:val="ListParagraph"/>
        <w:numPr>
          <w:ilvl w:val="0"/>
          <w:numId w:val="8"/>
        </w:numPr>
        <w:contextualSpacing/>
        <w:rPr>
          <w:rFonts w:ascii="Arial" w:hAnsi="Arial" w:cs="Arial"/>
          <w:sz w:val="22"/>
          <w:szCs w:val="22"/>
          <w:lang w:val="en-US"/>
        </w:rPr>
      </w:pPr>
      <w:r w:rsidRPr="00470629">
        <w:rPr>
          <w:rFonts w:ascii="Arial" w:hAnsi="Arial" w:cs="Arial"/>
          <w:sz w:val="22"/>
          <w:szCs w:val="22"/>
          <w:lang w:val="en-US"/>
        </w:rPr>
        <w:t>Partnerships with Pacific communities in NZ and/or with others in the region and internationally, and ways in which the research will help to attract and nurture the next generation of Pacific scientists.</w:t>
      </w:r>
    </w:p>
    <w:p w14:paraId="1606F8FE" w14:textId="77777777" w:rsidR="005D0102" w:rsidRPr="00470629" w:rsidRDefault="005D0102" w:rsidP="00DC000B">
      <w:pPr>
        <w:pStyle w:val="ListParagraph"/>
        <w:numPr>
          <w:ilvl w:val="0"/>
          <w:numId w:val="8"/>
        </w:numPr>
        <w:contextualSpacing/>
        <w:rPr>
          <w:rFonts w:ascii="Arial" w:hAnsi="Arial" w:cs="Arial"/>
          <w:sz w:val="22"/>
          <w:szCs w:val="22"/>
          <w:lang w:val="en-US"/>
        </w:rPr>
      </w:pPr>
      <w:r w:rsidRPr="00470629">
        <w:rPr>
          <w:rFonts w:ascii="Arial" w:hAnsi="Arial" w:cs="Arial"/>
          <w:sz w:val="22"/>
          <w:szCs w:val="22"/>
          <w:lang w:val="en-US"/>
        </w:rPr>
        <w:t>Possibility of infusing the research with diverse Pacific knowledge systems, and grounded in core principles of ethical research practice.</w:t>
      </w:r>
    </w:p>
    <w:p w14:paraId="248AF1C8" w14:textId="77777777" w:rsidR="005D0102" w:rsidRPr="00470629" w:rsidRDefault="005D0102" w:rsidP="00DC000B">
      <w:pPr>
        <w:pStyle w:val="ListParagraph"/>
        <w:numPr>
          <w:ilvl w:val="0"/>
          <w:numId w:val="8"/>
        </w:numPr>
        <w:contextualSpacing/>
        <w:rPr>
          <w:rFonts w:ascii="Arial" w:hAnsi="Arial" w:cs="Arial"/>
          <w:sz w:val="22"/>
          <w:szCs w:val="22"/>
          <w:lang w:val="en-US"/>
        </w:rPr>
      </w:pPr>
      <w:r w:rsidRPr="00470629">
        <w:rPr>
          <w:rFonts w:ascii="Arial" w:hAnsi="Arial" w:cs="Arial"/>
          <w:sz w:val="22"/>
          <w:szCs w:val="22"/>
          <w:lang w:val="en-US"/>
        </w:rPr>
        <w:t>Accountability mechanisms within the research to protect the safety and career development of Pacific researchers e.g. including sponsors or mentor or community advisory representative.</w:t>
      </w:r>
    </w:p>
    <w:p w14:paraId="016A4067" w14:textId="77777777" w:rsidR="005D0102" w:rsidRPr="00470629" w:rsidRDefault="005D0102" w:rsidP="00DC000B">
      <w:pPr>
        <w:pStyle w:val="ListParagraph"/>
        <w:numPr>
          <w:ilvl w:val="0"/>
          <w:numId w:val="8"/>
        </w:numPr>
        <w:contextualSpacing/>
        <w:rPr>
          <w:rFonts w:ascii="Arial" w:hAnsi="Arial" w:cs="Arial"/>
          <w:sz w:val="22"/>
          <w:szCs w:val="22"/>
          <w:lang w:val="en-US"/>
        </w:rPr>
      </w:pPr>
      <w:r w:rsidRPr="00470629">
        <w:rPr>
          <w:rFonts w:ascii="Arial" w:hAnsi="Arial" w:cs="Arial"/>
          <w:sz w:val="22"/>
          <w:szCs w:val="22"/>
          <w:lang w:val="en-US"/>
        </w:rPr>
        <w:t>New standard of research excellence in Pacific health knowledge.</w:t>
      </w:r>
    </w:p>
    <w:p w14:paraId="6435727A" w14:textId="687DEE64" w:rsidR="00F92DC6" w:rsidRDefault="005D0102" w:rsidP="00DC000B">
      <w:pPr>
        <w:pStyle w:val="ListParagraph"/>
        <w:numPr>
          <w:ilvl w:val="0"/>
          <w:numId w:val="8"/>
        </w:numPr>
        <w:contextualSpacing/>
        <w:rPr>
          <w:rFonts w:ascii="Arial" w:hAnsi="Arial" w:cs="Arial"/>
          <w:sz w:val="22"/>
          <w:szCs w:val="22"/>
          <w:lang w:val="en-US"/>
        </w:rPr>
      </w:pPr>
      <w:r w:rsidRPr="00470629">
        <w:rPr>
          <w:rFonts w:ascii="Arial" w:hAnsi="Arial" w:cs="Arial"/>
          <w:sz w:val="22"/>
          <w:szCs w:val="22"/>
          <w:lang w:val="en-US"/>
        </w:rPr>
        <w:t>Prioritise unmet Pacific health needs and need for precision medicine and precision treatments e.g. in response to COVID-19 pandemic and new variants, genetics of chronic disease in ethnic-specific Pacific population groups.</w:t>
      </w:r>
    </w:p>
    <w:p w14:paraId="422F4F3D" w14:textId="77777777" w:rsidR="00F92DC6" w:rsidRDefault="00F92DC6">
      <w:pPr>
        <w:rPr>
          <w:rFonts w:ascii="Arial" w:hAnsi="Arial" w:cs="Arial"/>
          <w:sz w:val="22"/>
          <w:szCs w:val="22"/>
          <w:lang w:val="en-US"/>
        </w:rPr>
      </w:pPr>
      <w:r>
        <w:rPr>
          <w:rFonts w:ascii="Arial" w:hAnsi="Arial" w:cs="Arial"/>
          <w:sz w:val="22"/>
          <w:szCs w:val="22"/>
          <w:lang w:val="en-US"/>
        </w:rPr>
        <w:br w:type="page"/>
      </w:r>
    </w:p>
    <w:p w14:paraId="1D768FF8" w14:textId="77777777" w:rsidR="005D0102" w:rsidRDefault="005D0102" w:rsidP="00F92DC6">
      <w:pPr>
        <w:pStyle w:val="ListParagraph"/>
        <w:contextualSpacing/>
        <w:rPr>
          <w:rFonts w:ascii="Arial" w:hAnsi="Arial" w:cs="Arial"/>
          <w:sz w:val="22"/>
          <w:szCs w:val="22"/>
          <w:lang w:val="en-US"/>
        </w:rPr>
      </w:pPr>
    </w:p>
    <w:p w14:paraId="27AFC3FB" w14:textId="77777777" w:rsidR="00F92DC6" w:rsidRDefault="00F92DC6" w:rsidP="00F92DC6">
      <w:pPr>
        <w:pStyle w:val="ListParagraph"/>
        <w:contextualSpacing/>
        <w:rPr>
          <w:rFonts w:ascii="Arial" w:hAnsi="Arial" w:cs="Arial"/>
          <w:b/>
          <w:bCs/>
          <w:sz w:val="28"/>
          <w:szCs w:val="28"/>
        </w:rPr>
      </w:pPr>
    </w:p>
    <w:p w14:paraId="0C8F0F28" w14:textId="751513BF" w:rsidR="00F92DC6" w:rsidRPr="00470629" w:rsidRDefault="00F92DC6" w:rsidP="00F92DC6">
      <w:pPr>
        <w:pStyle w:val="ListParagraph"/>
        <w:ind w:left="0"/>
        <w:contextualSpacing/>
        <w:rPr>
          <w:rFonts w:ascii="Arial" w:hAnsi="Arial" w:cs="Arial"/>
          <w:sz w:val="22"/>
          <w:szCs w:val="22"/>
          <w:lang w:val="en-US"/>
        </w:rPr>
      </w:pPr>
      <w:r w:rsidRPr="008D58D7">
        <w:rPr>
          <w:rFonts w:ascii="Arial" w:hAnsi="Arial" w:cs="Arial"/>
          <w:b/>
          <w:bCs/>
          <w:sz w:val="28"/>
          <w:szCs w:val="28"/>
        </w:rPr>
        <w:t xml:space="preserve">Appendix </w:t>
      </w:r>
      <w:r>
        <w:rPr>
          <w:rFonts w:ascii="Arial" w:hAnsi="Arial" w:cs="Arial"/>
          <w:b/>
          <w:bCs/>
          <w:sz w:val="28"/>
          <w:szCs w:val="28"/>
        </w:rPr>
        <w:t>5</w:t>
      </w:r>
      <w:r w:rsidRPr="008D58D7">
        <w:rPr>
          <w:rFonts w:ascii="Arial" w:hAnsi="Arial" w:cs="Arial"/>
          <w:b/>
          <w:bCs/>
          <w:sz w:val="28"/>
          <w:szCs w:val="28"/>
        </w:rPr>
        <w:t xml:space="preserve"> – </w:t>
      </w:r>
      <w:r w:rsidRPr="00F92DC6">
        <w:rPr>
          <w:rFonts w:ascii="Arial" w:hAnsi="Arial" w:cs="Arial"/>
          <w:b/>
          <w:bCs/>
          <w:sz w:val="28"/>
          <w:szCs w:val="28"/>
        </w:rPr>
        <w:t>Process for Managing Conflicts of Interest in Project Review Committee meetings 2025</w:t>
      </w:r>
      <w:r>
        <w:rPr>
          <w:rFonts w:ascii="Arial" w:hAnsi="Arial" w:cs="Arial"/>
          <w:b/>
          <w:bCs/>
          <w:sz w:val="28"/>
          <w:szCs w:val="28"/>
        </w:rPr>
        <w:t>.</w:t>
      </w:r>
    </w:p>
    <w:p w14:paraId="3B0A4F0D" w14:textId="77777777" w:rsidR="00C5498E" w:rsidRDefault="00C5498E" w:rsidP="00C5498E">
      <w:pPr>
        <w:rPr>
          <w:rFonts w:ascii="Arial" w:hAnsi="Arial" w:cs="Arial"/>
          <w:b/>
          <w:bCs/>
          <w:sz w:val="28"/>
          <w:szCs w:val="28"/>
        </w:rPr>
      </w:pPr>
    </w:p>
    <w:p w14:paraId="57F45F41"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t>The selection panel will operate under the standard MWC conflict of interest process (as outlined on page 29 of the MWC Plan) that states: “MWC members will not take part in decisions that may be seen to advantage or disadvantage themselves or those in their immediate research spheres. Potential conflicts of interest with potential to influence funding decisions will be noted and minuted at the start of every meeting.”</w:t>
      </w:r>
    </w:p>
    <w:p w14:paraId="54F717E7"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t>For the specific purposes of the process for assessment of applications for funding through the MWC Flexible Research Programme, the following guidelines will normally* be used by each panel member:</w:t>
      </w:r>
    </w:p>
    <w:p w14:paraId="265CEA36" w14:textId="77777777" w:rsidR="00F92DC6" w:rsidRPr="004E77AE" w:rsidRDefault="00F92DC6" w:rsidP="00F92DC6">
      <w:pPr>
        <w:rPr>
          <w:rFonts w:ascii="Arial" w:hAnsi="Arial" w:cs="Arial"/>
          <w:sz w:val="22"/>
          <w:szCs w:val="22"/>
          <w:lang w:val="en-NZ"/>
        </w:rPr>
      </w:pPr>
    </w:p>
    <w:p w14:paraId="5591E5AB" w14:textId="77777777" w:rsidR="00F92DC6" w:rsidRPr="004E77AE" w:rsidRDefault="00F92DC6" w:rsidP="00F92DC6">
      <w:pPr>
        <w:numPr>
          <w:ilvl w:val="0"/>
          <w:numId w:val="37"/>
        </w:numPr>
        <w:rPr>
          <w:rFonts w:ascii="Arial" w:hAnsi="Arial" w:cs="Arial"/>
          <w:sz w:val="22"/>
          <w:szCs w:val="22"/>
          <w:lang w:val="en-NZ"/>
        </w:rPr>
      </w:pPr>
      <w:r w:rsidRPr="004E77AE">
        <w:rPr>
          <w:rFonts w:ascii="Arial" w:hAnsi="Arial" w:cs="Arial"/>
          <w:sz w:val="22"/>
          <w:szCs w:val="22"/>
          <w:lang w:val="en-NZ"/>
        </w:rPr>
        <w:t>The committee decides how to handle the conflict, which can be guided by the following:</w:t>
      </w:r>
    </w:p>
    <w:p w14:paraId="5924B8F8" w14:textId="77777777" w:rsidR="00F92DC6" w:rsidRPr="004E77AE" w:rsidRDefault="00F92DC6" w:rsidP="00F92DC6">
      <w:pPr>
        <w:ind w:left="426"/>
        <w:rPr>
          <w:rFonts w:ascii="Arial" w:hAnsi="Arial" w:cs="Arial"/>
          <w:sz w:val="22"/>
          <w:szCs w:val="22"/>
          <w:lang w:val="en-NZ"/>
        </w:rPr>
      </w:pPr>
      <w:r w:rsidRPr="004E77AE">
        <w:rPr>
          <w:rFonts w:ascii="Arial" w:hAnsi="Arial" w:cs="Arial"/>
          <w:b/>
          <w:bCs/>
          <w:sz w:val="22"/>
          <w:szCs w:val="22"/>
          <w:lang w:val="en-NZ"/>
        </w:rPr>
        <w:t>High</w:t>
      </w:r>
      <w:r w:rsidRPr="004E77AE">
        <w:rPr>
          <w:rFonts w:ascii="Arial" w:hAnsi="Arial" w:cs="Arial"/>
          <w:sz w:val="22"/>
          <w:szCs w:val="22"/>
          <w:lang w:val="en-NZ"/>
        </w:rPr>
        <w:t xml:space="preserve">: the individual is excluded from commenting on any application, from assessing any application, and from participating in a conversation about the application in which they are conflicted. </w:t>
      </w:r>
    </w:p>
    <w:p w14:paraId="70D8F8DA" w14:textId="77777777" w:rsidR="00F92DC6" w:rsidRPr="004E77AE" w:rsidRDefault="00F92DC6" w:rsidP="00F92DC6">
      <w:pPr>
        <w:ind w:left="426"/>
        <w:rPr>
          <w:rFonts w:ascii="Arial" w:hAnsi="Arial" w:cs="Arial"/>
          <w:sz w:val="22"/>
          <w:szCs w:val="22"/>
          <w:lang w:val="en-NZ"/>
        </w:rPr>
      </w:pPr>
      <w:r w:rsidRPr="004E77AE">
        <w:rPr>
          <w:rFonts w:ascii="Arial" w:hAnsi="Arial" w:cs="Arial"/>
          <w:b/>
          <w:bCs/>
          <w:sz w:val="22"/>
          <w:szCs w:val="22"/>
          <w:lang w:val="en-NZ"/>
        </w:rPr>
        <w:t>Moderate</w:t>
      </w:r>
      <w:r w:rsidRPr="004E77AE">
        <w:rPr>
          <w:rFonts w:ascii="Arial" w:hAnsi="Arial" w:cs="Arial"/>
          <w:sz w:val="22"/>
          <w:szCs w:val="22"/>
          <w:lang w:val="en-NZ"/>
        </w:rPr>
        <w:t>: the individual is excluded from assessing the application in which they are conflicted and can only participate in a conversation about the application to provide additional clarification if needed.</w:t>
      </w:r>
    </w:p>
    <w:p w14:paraId="4ECFBF93" w14:textId="77777777" w:rsidR="00F92DC6" w:rsidRPr="004E77AE" w:rsidRDefault="00F92DC6" w:rsidP="00F92DC6">
      <w:pPr>
        <w:ind w:left="426"/>
        <w:rPr>
          <w:rFonts w:ascii="Arial" w:hAnsi="Arial" w:cs="Arial"/>
          <w:sz w:val="22"/>
          <w:szCs w:val="22"/>
          <w:lang w:val="en-NZ"/>
        </w:rPr>
      </w:pPr>
      <w:r w:rsidRPr="004E77AE">
        <w:rPr>
          <w:rFonts w:ascii="Arial" w:hAnsi="Arial" w:cs="Arial"/>
          <w:b/>
          <w:bCs/>
          <w:sz w:val="22"/>
          <w:szCs w:val="22"/>
          <w:lang w:val="en-NZ"/>
        </w:rPr>
        <w:t>Low</w:t>
      </w:r>
      <w:r w:rsidRPr="004E77AE">
        <w:rPr>
          <w:rFonts w:ascii="Arial" w:hAnsi="Arial" w:cs="Arial"/>
          <w:sz w:val="22"/>
          <w:szCs w:val="22"/>
          <w:lang w:val="en-NZ"/>
        </w:rPr>
        <w:t>: the individual can participate in assessing the application and in a conversation to provide additional information or clarification as needed.</w:t>
      </w:r>
    </w:p>
    <w:p w14:paraId="12F55853" w14:textId="77777777" w:rsidR="00F92DC6" w:rsidRPr="004E77AE" w:rsidRDefault="00F92DC6" w:rsidP="00F92DC6">
      <w:pPr>
        <w:rPr>
          <w:rFonts w:ascii="Arial" w:hAnsi="Arial" w:cs="Arial"/>
          <w:sz w:val="22"/>
          <w:szCs w:val="22"/>
          <w:lang w:val="en-NZ"/>
        </w:rPr>
      </w:pPr>
    </w:p>
    <w:p w14:paraId="694A2D89" w14:textId="77777777" w:rsidR="00F92DC6" w:rsidRPr="004E77AE" w:rsidRDefault="00F92DC6" w:rsidP="00F92DC6">
      <w:pPr>
        <w:numPr>
          <w:ilvl w:val="0"/>
          <w:numId w:val="37"/>
        </w:numPr>
        <w:rPr>
          <w:rFonts w:ascii="Arial" w:hAnsi="Arial" w:cs="Arial"/>
          <w:sz w:val="22"/>
          <w:szCs w:val="22"/>
          <w:lang w:val="en-NZ"/>
        </w:rPr>
      </w:pPr>
      <w:r w:rsidRPr="004E77AE">
        <w:rPr>
          <w:rFonts w:ascii="Arial" w:hAnsi="Arial" w:cs="Arial"/>
          <w:sz w:val="22"/>
          <w:szCs w:val="22"/>
          <w:lang w:val="en-NZ"/>
        </w:rPr>
        <w:t>Panel members Identify any potential conflicts of interest from the list of applicants (before reviewing any applications) and before the review committee meeting.</w:t>
      </w:r>
    </w:p>
    <w:p w14:paraId="5DC1C240" w14:textId="77777777" w:rsidR="00F92DC6" w:rsidRPr="004E77AE" w:rsidRDefault="00F92DC6" w:rsidP="00F92DC6">
      <w:pPr>
        <w:rPr>
          <w:rFonts w:ascii="Arial" w:hAnsi="Arial" w:cs="Arial"/>
          <w:sz w:val="22"/>
          <w:szCs w:val="22"/>
          <w:lang w:val="en-NZ"/>
        </w:rPr>
      </w:pPr>
    </w:p>
    <w:p w14:paraId="6D45F726" w14:textId="77777777" w:rsidR="00F92DC6" w:rsidRPr="004E77AE" w:rsidRDefault="00F92DC6" w:rsidP="00F92DC6">
      <w:pPr>
        <w:numPr>
          <w:ilvl w:val="0"/>
          <w:numId w:val="37"/>
        </w:numPr>
        <w:rPr>
          <w:rFonts w:ascii="Arial" w:hAnsi="Arial" w:cs="Arial"/>
          <w:sz w:val="22"/>
          <w:szCs w:val="22"/>
          <w:lang w:val="en-NZ"/>
        </w:rPr>
      </w:pPr>
      <w:r w:rsidRPr="004E77AE">
        <w:rPr>
          <w:rFonts w:ascii="Arial" w:hAnsi="Arial" w:cs="Arial"/>
          <w:sz w:val="22"/>
          <w:szCs w:val="22"/>
          <w:lang w:val="en-NZ"/>
        </w:rPr>
        <w:t>At the start of the meeting the chair requires that anyone with self-identified (or other) conflicts of interest declare the conflict and the extent of the conflict. Conflicts of interest are recorded in the review committee meeting minutes.</w:t>
      </w:r>
    </w:p>
    <w:p w14:paraId="30276E35" w14:textId="77777777" w:rsidR="00F92DC6" w:rsidRPr="004E77AE" w:rsidRDefault="00F92DC6" w:rsidP="00F92DC6">
      <w:pPr>
        <w:rPr>
          <w:rFonts w:ascii="Arial" w:hAnsi="Arial" w:cs="Arial"/>
          <w:sz w:val="22"/>
          <w:szCs w:val="22"/>
          <w:lang w:val="en-NZ"/>
        </w:rPr>
      </w:pPr>
    </w:p>
    <w:p w14:paraId="73BBB567" w14:textId="77777777" w:rsidR="00F92DC6" w:rsidRPr="004E77AE" w:rsidRDefault="00F92DC6" w:rsidP="00F92DC6">
      <w:pPr>
        <w:numPr>
          <w:ilvl w:val="0"/>
          <w:numId w:val="40"/>
        </w:numPr>
        <w:rPr>
          <w:rFonts w:ascii="Arial" w:hAnsi="Arial" w:cs="Arial"/>
          <w:sz w:val="22"/>
          <w:szCs w:val="22"/>
          <w:lang w:val="en-NZ"/>
        </w:rPr>
      </w:pPr>
      <w:r w:rsidRPr="004E77AE">
        <w:rPr>
          <w:rFonts w:ascii="Arial" w:hAnsi="Arial" w:cs="Arial"/>
          <w:sz w:val="22"/>
          <w:szCs w:val="22"/>
          <w:lang w:val="en-NZ"/>
        </w:rPr>
        <w:t>Conflicts of interest include (see Appendix):</w:t>
      </w:r>
    </w:p>
    <w:p w14:paraId="032B1B92" w14:textId="77777777" w:rsidR="00F92DC6" w:rsidRPr="004E77AE" w:rsidRDefault="00F92DC6" w:rsidP="00F92DC6">
      <w:pPr>
        <w:numPr>
          <w:ilvl w:val="0"/>
          <w:numId w:val="38"/>
        </w:numPr>
        <w:ind w:hanging="11"/>
        <w:rPr>
          <w:rFonts w:ascii="Arial" w:hAnsi="Arial" w:cs="Arial"/>
          <w:i/>
          <w:iCs/>
          <w:sz w:val="22"/>
          <w:szCs w:val="22"/>
          <w:lang w:val="en-NZ"/>
        </w:rPr>
      </w:pPr>
      <w:r w:rsidRPr="004E77AE">
        <w:rPr>
          <w:rFonts w:ascii="Arial" w:hAnsi="Arial" w:cs="Arial"/>
          <w:i/>
          <w:iCs/>
          <w:sz w:val="22"/>
          <w:szCs w:val="22"/>
          <w:lang w:val="en-NZ"/>
        </w:rPr>
        <w:t>Financial conflicts of interest</w:t>
      </w:r>
    </w:p>
    <w:p w14:paraId="27CD59ED" w14:textId="77777777" w:rsidR="00F92DC6" w:rsidRPr="004E77AE" w:rsidRDefault="00F92DC6" w:rsidP="00F92DC6">
      <w:pPr>
        <w:numPr>
          <w:ilvl w:val="0"/>
          <w:numId w:val="38"/>
        </w:numPr>
        <w:ind w:hanging="11"/>
        <w:rPr>
          <w:rFonts w:ascii="Arial" w:hAnsi="Arial" w:cs="Arial"/>
          <w:i/>
          <w:iCs/>
          <w:sz w:val="22"/>
          <w:szCs w:val="22"/>
          <w:lang w:val="en-NZ"/>
        </w:rPr>
      </w:pPr>
      <w:r w:rsidRPr="004E77AE">
        <w:rPr>
          <w:rFonts w:ascii="Arial" w:hAnsi="Arial" w:cs="Arial"/>
          <w:i/>
          <w:iCs/>
          <w:sz w:val="22"/>
          <w:szCs w:val="22"/>
          <w:lang w:val="en-NZ"/>
        </w:rPr>
        <w:t>Non-financial conflicts of interest</w:t>
      </w:r>
    </w:p>
    <w:p w14:paraId="0BFFA12F" w14:textId="77777777" w:rsidR="00F92DC6" w:rsidRPr="004E77AE" w:rsidRDefault="00F92DC6" w:rsidP="00F92DC6">
      <w:pPr>
        <w:numPr>
          <w:ilvl w:val="0"/>
          <w:numId w:val="38"/>
        </w:numPr>
        <w:ind w:hanging="11"/>
        <w:rPr>
          <w:rFonts w:ascii="Arial" w:hAnsi="Arial" w:cs="Arial"/>
          <w:i/>
          <w:iCs/>
          <w:sz w:val="22"/>
          <w:szCs w:val="22"/>
          <w:lang w:val="en-NZ"/>
        </w:rPr>
      </w:pPr>
      <w:r w:rsidRPr="004E77AE">
        <w:rPr>
          <w:rFonts w:ascii="Arial" w:hAnsi="Arial" w:cs="Arial"/>
          <w:i/>
          <w:iCs/>
          <w:sz w:val="22"/>
          <w:szCs w:val="22"/>
          <w:lang w:val="en-NZ"/>
        </w:rPr>
        <w:t>Conflict of roles</w:t>
      </w:r>
    </w:p>
    <w:p w14:paraId="68D74883" w14:textId="77777777" w:rsidR="00F92DC6" w:rsidRPr="004E77AE" w:rsidRDefault="00F92DC6" w:rsidP="00F92DC6">
      <w:pPr>
        <w:numPr>
          <w:ilvl w:val="0"/>
          <w:numId w:val="38"/>
        </w:numPr>
        <w:ind w:hanging="11"/>
        <w:rPr>
          <w:rFonts w:ascii="Arial" w:hAnsi="Arial" w:cs="Arial"/>
          <w:i/>
          <w:iCs/>
          <w:sz w:val="22"/>
          <w:szCs w:val="22"/>
          <w:lang w:val="en-NZ"/>
        </w:rPr>
      </w:pPr>
      <w:r w:rsidRPr="004E77AE">
        <w:rPr>
          <w:rFonts w:ascii="Arial" w:hAnsi="Arial" w:cs="Arial"/>
          <w:i/>
          <w:iCs/>
          <w:sz w:val="22"/>
          <w:szCs w:val="22"/>
          <w:lang w:val="en-NZ"/>
        </w:rPr>
        <w:t>Predetermination</w:t>
      </w:r>
    </w:p>
    <w:p w14:paraId="2605AB86" w14:textId="77777777" w:rsidR="00F92DC6" w:rsidRPr="004E77AE" w:rsidRDefault="00F92DC6" w:rsidP="00F92DC6">
      <w:pPr>
        <w:rPr>
          <w:rFonts w:ascii="Arial" w:hAnsi="Arial" w:cs="Arial"/>
          <w:i/>
          <w:iCs/>
          <w:sz w:val="22"/>
          <w:szCs w:val="22"/>
          <w:lang w:val="en-NZ"/>
        </w:rPr>
      </w:pPr>
    </w:p>
    <w:p w14:paraId="4291F6AA" w14:textId="77777777" w:rsidR="00F92DC6" w:rsidRPr="004E77AE" w:rsidRDefault="00F92DC6" w:rsidP="00F92DC6">
      <w:pPr>
        <w:numPr>
          <w:ilvl w:val="0"/>
          <w:numId w:val="40"/>
        </w:numPr>
        <w:rPr>
          <w:rFonts w:ascii="Arial" w:hAnsi="Arial" w:cs="Arial"/>
          <w:sz w:val="22"/>
          <w:szCs w:val="22"/>
          <w:lang w:val="en-NZ"/>
        </w:rPr>
      </w:pPr>
      <w:r w:rsidRPr="004E77AE">
        <w:rPr>
          <w:rFonts w:ascii="Arial" w:hAnsi="Arial" w:cs="Arial"/>
          <w:sz w:val="22"/>
          <w:szCs w:val="22"/>
          <w:lang w:val="en-NZ"/>
        </w:rPr>
        <w:t>Examples of conflict of interest:</w:t>
      </w:r>
    </w:p>
    <w:p w14:paraId="74B0C06E" w14:textId="77777777" w:rsidR="00F92DC6" w:rsidRPr="004E77AE" w:rsidRDefault="00F92DC6" w:rsidP="00F92DC6">
      <w:pPr>
        <w:rPr>
          <w:rFonts w:ascii="Arial" w:hAnsi="Arial" w:cs="Arial"/>
          <w:i/>
          <w:iCs/>
          <w:sz w:val="22"/>
          <w:szCs w:val="22"/>
          <w:lang w:val="en-NZ"/>
        </w:rPr>
      </w:pPr>
    </w:p>
    <w:p w14:paraId="3BD332A6" w14:textId="60DAF3B8"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A</w:t>
      </w:r>
      <w:r w:rsidR="00F92DC6" w:rsidRPr="004E77AE">
        <w:rPr>
          <w:rFonts w:ascii="Arial" w:hAnsi="Arial" w:cs="Arial"/>
          <w:sz w:val="22"/>
          <w:szCs w:val="22"/>
          <w:lang w:val="en-NZ"/>
        </w:rPr>
        <w:t>re listed as a lead investigator on any application in the funding round</w:t>
      </w:r>
    </w:p>
    <w:p w14:paraId="304AD95B" w14:textId="78E2FE96"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A</w:t>
      </w:r>
      <w:r w:rsidR="00F92DC6" w:rsidRPr="004E77AE">
        <w:rPr>
          <w:rFonts w:ascii="Arial" w:hAnsi="Arial" w:cs="Arial"/>
          <w:sz w:val="22"/>
          <w:szCs w:val="22"/>
          <w:lang w:val="en-NZ"/>
        </w:rPr>
        <w:t xml:space="preserve">re listed as a collaborating investigator on any application in the funding round </w:t>
      </w:r>
    </w:p>
    <w:p w14:paraId="428143BD" w14:textId="3AF214EA"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A</w:t>
      </w:r>
      <w:r w:rsidR="00F92DC6" w:rsidRPr="004E77AE">
        <w:rPr>
          <w:rFonts w:ascii="Arial" w:hAnsi="Arial" w:cs="Arial"/>
          <w:sz w:val="22"/>
          <w:szCs w:val="22"/>
          <w:lang w:val="en-NZ"/>
        </w:rPr>
        <w:t>re from the same immediate department, institution or company as the applicant(s)</w:t>
      </w:r>
    </w:p>
    <w:p w14:paraId="74106EAB" w14:textId="045AF5B1"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H</w:t>
      </w:r>
      <w:r w:rsidR="00F92DC6" w:rsidRPr="004E77AE">
        <w:rPr>
          <w:rFonts w:ascii="Arial" w:hAnsi="Arial" w:cs="Arial"/>
          <w:sz w:val="22"/>
          <w:szCs w:val="22"/>
          <w:lang w:val="en-NZ"/>
        </w:rPr>
        <w:t>ave collaborated, published or been a co-applicant with the applicant(s), within the last 5 years</w:t>
      </w:r>
    </w:p>
    <w:p w14:paraId="35727B20" w14:textId="25F84F51"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H</w:t>
      </w:r>
      <w:r w:rsidR="00F92DC6" w:rsidRPr="004E77AE">
        <w:rPr>
          <w:rFonts w:ascii="Arial" w:hAnsi="Arial" w:cs="Arial"/>
          <w:sz w:val="22"/>
          <w:szCs w:val="22"/>
          <w:lang w:val="en-NZ"/>
        </w:rPr>
        <w:t>ave been a student or supervisor of the applicant(s) within the last 10 years</w:t>
      </w:r>
    </w:p>
    <w:p w14:paraId="03EA4EC6" w14:textId="368171BF"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A</w:t>
      </w:r>
      <w:r w:rsidR="00F92DC6" w:rsidRPr="004E77AE">
        <w:rPr>
          <w:rFonts w:ascii="Arial" w:hAnsi="Arial" w:cs="Arial"/>
          <w:sz w:val="22"/>
          <w:szCs w:val="22"/>
          <w:lang w:val="en-NZ"/>
        </w:rPr>
        <w:t>re a close personal friend or relative of the applicant(s)</w:t>
      </w:r>
    </w:p>
    <w:p w14:paraId="4EDCB4BB" w14:textId="4A034993"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H</w:t>
      </w:r>
      <w:r w:rsidR="00F92DC6" w:rsidRPr="004E77AE">
        <w:rPr>
          <w:rFonts w:ascii="Arial" w:hAnsi="Arial" w:cs="Arial"/>
          <w:sz w:val="22"/>
          <w:szCs w:val="22"/>
          <w:lang w:val="en-NZ"/>
        </w:rPr>
        <w:t>ave had long-standing scientific or personal differences with the applicant(s)</w:t>
      </w:r>
    </w:p>
    <w:p w14:paraId="040E499F" w14:textId="226803CE"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A</w:t>
      </w:r>
      <w:r w:rsidR="00F92DC6" w:rsidRPr="004E77AE">
        <w:rPr>
          <w:rFonts w:ascii="Arial" w:hAnsi="Arial" w:cs="Arial"/>
          <w:sz w:val="22"/>
          <w:szCs w:val="22"/>
          <w:lang w:val="en-NZ"/>
        </w:rPr>
        <w:t>re in a position to gain or lose financially from the outcome of the application</w:t>
      </w:r>
    </w:p>
    <w:p w14:paraId="332B0A84" w14:textId="7DF5A2A9"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H</w:t>
      </w:r>
      <w:r w:rsidR="00F92DC6" w:rsidRPr="004E77AE">
        <w:rPr>
          <w:rFonts w:ascii="Arial" w:hAnsi="Arial" w:cs="Arial"/>
          <w:sz w:val="22"/>
          <w:szCs w:val="22"/>
          <w:lang w:val="en-NZ"/>
        </w:rPr>
        <w:t>ave or have recently had a shared membership of professional organisations or advisory boards</w:t>
      </w:r>
    </w:p>
    <w:p w14:paraId="153F34CF" w14:textId="43BE6501" w:rsidR="00F92DC6" w:rsidRPr="004E77AE" w:rsidRDefault="000B7F82" w:rsidP="000B7F82">
      <w:pPr>
        <w:numPr>
          <w:ilvl w:val="0"/>
          <w:numId w:val="39"/>
        </w:numPr>
        <w:ind w:left="1134" w:hanging="141"/>
        <w:rPr>
          <w:rFonts w:ascii="Arial" w:hAnsi="Arial" w:cs="Arial"/>
          <w:sz w:val="22"/>
          <w:szCs w:val="22"/>
          <w:lang w:val="en-NZ"/>
        </w:rPr>
      </w:pPr>
      <w:r w:rsidRPr="004E77AE">
        <w:rPr>
          <w:rFonts w:ascii="Arial" w:hAnsi="Arial" w:cs="Arial"/>
          <w:sz w:val="22"/>
          <w:szCs w:val="22"/>
          <w:lang w:val="en-NZ"/>
        </w:rPr>
        <w:t xml:space="preserve"> F</w:t>
      </w:r>
      <w:r w:rsidR="00F92DC6" w:rsidRPr="004E77AE">
        <w:rPr>
          <w:rFonts w:ascii="Arial" w:hAnsi="Arial" w:cs="Arial"/>
          <w:sz w:val="22"/>
          <w:szCs w:val="22"/>
          <w:lang w:val="en-NZ"/>
        </w:rPr>
        <w:t>or whatever reason, feel that they cannot provide an objective review of the application</w:t>
      </w:r>
    </w:p>
    <w:p w14:paraId="34D9AE49" w14:textId="77777777" w:rsidR="00F92DC6" w:rsidRPr="004E77AE" w:rsidRDefault="00F92DC6" w:rsidP="00F92DC6">
      <w:pPr>
        <w:rPr>
          <w:rFonts w:ascii="Arial" w:hAnsi="Arial" w:cs="Arial"/>
          <w:sz w:val="22"/>
          <w:szCs w:val="22"/>
          <w:lang w:val="en-NZ"/>
        </w:rPr>
      </w:pPr>
    </w:p>
    <w:p w14:paraId="1DFFEC21"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t>*If it is not possible to form a committee then the Chair and/or Director (or their delegate) may move to include a limited number of investigators with ‘high’ CoI in the committee. In this situation these conflicts would be treated the same as a ‘moderate’ CoI.</w:t>
      </w:r>
    </w:p>
    <w:p w14:paraId="7E127E02" w14:textId="77777777" w:rsidR="00F92DC6" w:rsidRPr="004E77AE" w:rsidRDefault="00F92DC6" w:rsidP="00F92DC6">
      <w:pPr>
        <w:rPr>
          <w:rFonts w:ascii="Arial" w:hAnsi="Arial" w:cs="Arial"/>
          <w:sz w:val="22"/>
          <w:szCs w:val="22"/>
          <w:lang w:val="en-NZ"/>
        </w:rPr>
      </w:pPr>
    </w:p>
    <w:p w14:paraId="267912A2" w14:textId="1AF6C820" w:rsidR="00F92DC6" w:rsidRPr="004E77AE" w:rsidRDefault="00F92DC6" w:rsidP="00F92DC6">
      <w:pPr>
        <w:rPr>
          <w:rFonts w:ascii="Arial" w:hAnsi="Arial" w:cs="Arial"/>
          <w:b/>
          <w:bCs/>
          <w:sz w:val="22"/>
          <w:szCs w:val="22"/>
          <w:lang w:val="en-NZ"/>
        </w:rPr>
      </w:pPr>
      <w:r w:rsidRPr="004E77AE">
        <w:rPr>
          <w:rFonts w:ascii="Arial" w:hAnsi="Arial" w:cs="Arial"/>
          <w:b/>
          <w:bCs/>
          <w:sz w:val="22"/>
          <w:szCs w:val="22"/>
          <w:lang w:val="en-NZ"/>
        </w:rPr>
        <w:t>Appendix</w:t>
      </w:r>
      <w:r w:rsidR="000B7F82" w:rsidRPr="004E77AE">
        <w:rPr>
          <w:rFonts w:ascii="Arial" w:hAnsi="Arial" w:cs="Arial"/>
          <w:b/>
          <w:bCs/>
          <w:sz w:val="22"/>
          <w:szCs w:val="22"/>
          <w:lang w:val="en-NZ"/>
        </w:rPr>
        <w:t xml:space="preserve"> 6 -</w:t>
      </w:r>
      <w:r w:rsidRPr="004E77AE">
        <w:rPr>
          <w:rFonts w:ascii="Arial" w:hAnsi="Arial" w:cs="Arial"/>
          <w:b/>
          <w:bCs/>
          <w:sz w:val="22"/>
          <w:szCs w:val="22"/>
          <w:lang w:val="en-NZ"/>
        </w:rPr>
        <w:t xml:space="preserve"> Types of Conflicts of Interest</w:t>
      </w:r>
    </w:p>
    <w:p w14:paraId="0DCC86BA" w14:textId="77777777" w:rsidR="00F92DC6" w:rsidRPr="004E77AE" w:rsidRDefault="00F92DC6" w:rsidP="00F92DC6">
      <w:pPr>
        <w:rPr>
          <w:rFonts w:ascii="Arial" w:hAnsi="Arial" w:cs="Arial"/>
          <w:sz w:val="22"/>
          <w:szCs w:val="22"/>
          <w:lang w:val="en-NZ"/>
        </w:rPr>
      </w:pPr>
    </w:p>
    <w:p w14:paraId="7A59580C" w14:textId="77777777" w:rsidR="00F92DC6" w:rsidRPr="004E77AE" w:rsidRDefault="00F92DC6" w:rsidP="00F92DC6">
      <w:pPr>
        <w:numPr>
          <w:ilvl w:val="0"/>
          <w:numId w:val="36"/>
        </w:numPr>
        <w:rPr>
          <w:rFonts w:ascii="Arial" w:hAnsi="Arial" w:cs="Arial"/>
          <w:i/>
          <w:iCs/>
          <w:sz w:val="22"/>
          <w:szCs w:val="22"/>
          <w:lang w:val="en-NZ"/>
        </w:rPr>
      </w:pPr>
      <w:r w:rsidRPr="004E77AE">
        <w:rPr>
          <w:rFonts w:ascii="Arial" w:hAnsi="Arial" w:cs="Arial"/>
          <w:i/>
          <w:iCs/>
          <w:sz w:val="22"/>
          <w:szCs w:val="22"/>
          <w:lang w:val="en-NZ"/>
        </w:rPr>
        <w:t>Financial conflicts of interest:</w:t>
      </w:r>
    </w:p>
    <w:p w14:paraId="5093B354" w14:textId="77777777" w:rsidR="00F92DC6" w:rsidRPr="004E77AE" w:rsidRDefault="00F92DC6" w:rsidP="00F92DC6">
      <w:pPr>
        <w:rPr>
          <w:rFonts w:ascii="Arial" w:hAnsi="Arial" w:cs="Arial"/>
          <w:sz w:val="22"/>
          <w:szCs w:val="22"/>
          <w:lang w:val="en-NZ"/>
        </w:rPr>
      </w:pPr>
    </w:p>
    <w:p w14:paraId="4D5377CE" w14:textId="77777777" w:rsidR="00F92DC6" w:rsidRPr="004E77AE" w:rsidRDefault="00F92DC6" w:rsidP="00F92DC6">
      <w:pPr>
        <w:rPr>
          <w:rFonts w:ascii="Arial" w:hAnsi="Arial" w:cs="Arial"/>
          <w:i/>
          <w:iCs/>
          <w:sz w:val="22"/>
          <w:szCs w:val="22"/>
          <w:lang w:val="en-NZ"/>
        </w:rPr>
      </w:pPr>
      <w:r w:rsidRPr="004E77AE">
        <w:rPr>
          <w:rFonts w:ascii="Arial" w:hAnsi="Arial" w:cs="Arial"/>
          <w:sz w:val="22"/>
          <w:szCs w:val="22"/>
          <w:lang w:val="en-NZ"/>
        </w:rPr>
        <w:t xml:space="preserve">A financial conflict of interest is any situation where a committee member could gain or lose financially from a decision you are asked to make. Financial interests might be direct or indirect. </w:t>
      </w:r>
    </w:p>
    <w:p w14:paraId="1627EEF5" w14:textId="77777777" w:rsidR="00F92DC6" w:rsidRPr="004E77AE" w:rsidRDefault="00F92DC6" w:rsidP="00F92DC6">
      <w:pPr>
        <w:rPr>
          <w:rFonts w:ascii="Arial" w:hAnsi="Arial" w:cs="Arial"/>
          <w:sz w:val="22"/>
          <w:szCs w:val="22"/>
          <w:lang w:val="en-NZ"/>
        </w:rPr>
      </w:pPr>
    </w:p>
    <w:p w14:paraId="1506EDAC" w14:textId="77777777" w:rsidR="00F92DC6" w:rsidRPr="004E77AE" w:rsidRDefault="00F92DC6" w:rsidP="00F92DC6">
      <w:pPr>
        <w:numPr>
          <w:ilvl w:val="0"/>
          <w:numId w:val="36"/>
        </w:numPr>
        <w:rPr>
          <w:rFonts w:ascii="Arial" w:hAnsi="Arial" w:cs="Arial"/>
          <w:i/>
          <w:iCs/>
          <w:sz w:val="22"/>
          <w:szCs w:val="22"/>
          <w:lang w:val="en-NZ"/>
        </w:rPr>
      </w:pPr>
      <w:r w:rsidRPr="004E77AE">
        <w:rPr>
          <w:rFonts w:ascii="Arial" w:hAnsi="Arial" w:cs="Arial"/>
          <w:i/>
          <w:iCs/>
          <w:sz w:val="22"/>
          <w:szCs w:val="22"/>
          <w:lang w:val="en-NZ"/>
        </w:rPr>
        <w:t>Non-financial conflicts of interest</w:t>
      </w:r>
    </w:p>
    <w:p w14:paraId="45D88998" w14:textId="77777777" w:rsidR="00F92DC6" w:rsidRPr="004E77AE" w:rsidRDefault="00F92DC6" w:rsidP="00F92DC6">
      <w:pPr>
        <w:rPr>
          <w:rFonts w:ascii="Arial" w:hAnsi="Arial" w:cs="Arial"/>
          <w:sz w:val="22"/>
          <w:szCs w:val="22"/>
          <w:lang w:val="en-NZ"/>
        </w:rPr>
      </w:pPr>
    </w:p>
    <w:p w14:paraId="1F236935"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t xml:space="preserve">A non-financial conflict of interest is any situation where a panel member is affected in some way that might lead to bias or the appearance of bias in decision-making. A non-financial conflict of interest might arise, for example, from a family relationship, friendship, or any other sort of personal relationship. </w:t>
      </w:r>
    </w:p>
    <w:p w14:paraId="2C87D9B1" w14:textId="77777777" w:rsidR="00F92DC6" w:rsidRPr="004E77AE" w:rsidRDefault="00F92DC6" w:rsidP="00F92DC6">
      <w:pPr>
        <w:rPr>
          <w:rFonts w:ascii="Arial" w:hAnsi="Arial" w:cs="Arial"/>
          <w:sz w:val="22"/>
          <w:szCs w:val="22"/>
          <w:lang w:val="en-NZ"/>
        </w:rPr>
      </w:pPr>
    </w:p>
    <w:p w14:paraId="72B7210E"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t xml:space="preserve">If friends, close colleagues or a relative have an interest that overlaps with the duties as a panel member, then there might be a conflict of interest. </w:t>
      </w:r>
    </w:p>
    <w:p w14:paraId="767C1A68" w14:textId="77777777" w:rsidR="00F92DC6" w:rsidRPr="004E77AE" w:rsidRDefault="00F92DC6" w:rsidP="00F92DC6">
      <w:pPr>
        <w:rPr>
          <w:rFonts w:ascii="Arial" w:hAnsi="Arial" w:cs="Arial"/>
          <w:sz w:val="22"/>
          <w:szCs w:val="22"/>
          <w:lang w:val="en-NZ"/>
        </w:rPr>
      </w:pPr>
    </w:p>
    <w:p w14:paraId="120DFF98" w14:textId="77777777" w:rsidR="00F92DC6" w:rsidRPr="004E77AE" w:rsidRDefault="00F92DC6" w:rsidP="00F92DC6">
      <w:pPr>
        <w:numPr>
          <w:ilvl w:val="0"/>
          <w:numId w:val="36"/>
        </w:numPr>
        <w:rPr>
          <w:rFonts w:ascii="Arial" w:hAnsi="Arial" w:cs="Arial"/>
          <w:i/>
          <w:iCs/>
          <w:sz w:val="22"/>
          <w:szCs w:val="22"/>
          <w:lang w:val="en-NZ"/>
        </w:rPr>
      </w:pPr>
      <w:r w:rsidRPr="004E77AE">
        <w:rPr>
          <w:rFonts w:ascii="Arial" w:hAnsi="Arial" w:cs="Arial"/>
          <w:i/>
          <w:iCs/>
          <w:sz w:val="22"/>
          <w:szCs w:val="22"/>
          <w:lang w:val="en-NZ"/>
        </w:rPr>
        <w:t>Conflict of roles</w:t>
      </w:r>
    </w:p>
    <w:p w14:paraId="3E132EC7"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br/>
        <w:t xml:space="preserve">A conflict of roles can arise in any situation where someone is involved in decisions for two different organisations about the same matter, for example Maurice Wilkins Centre and a University. </w:t>
      </w:r>
    </w:p>
    <w:p w14:paraId="00F669DB" w14:textId="77777777" w:rsidR="00F92DC6" w:rsidRPr="004E77AE" w:rsidRDefault="00F92DC6" w:rsidP="00F92DC6">
      <w:pPr>
        <w:rPr>
          <w:rFonts w:ascii="Arial" w:hAnsi="Arial" w:cs="Arial"/>
          <w:sz w:val="22"/>
          <w:szCs w:val="22"/>
          <w:lang w:val="en-NZ"/>
        </w:rPr>
      </w:pPr>
    </w:p>
    <w:p w14:paraId="20503F6F" w14:textId="77777777" w:rsidR="000B7F82" w:rsidRPr="004E77AE" w:rsidRDefault="000B7F82" w:rsidP="00F92DC6">
      <w:pPr>
        <w:rPr>
          <w:rFonts w:ascii="Arial" w:hAnsi="Arial" w:cs="Arial"/>
          <w:sz w:val="22"/>
          <w:szCs w:val="22"/>
          <w:lang w:val="en-NZ"/>
        </w:rPr>
      </w:pPr>
    </w:p>
    <w:p w14:paraId="6DC39468" w14:textId="77777777" w:rsidR="000B7F82" w:rsidRPr="004E77AE" w:rsidRDefault="000B7F82" w:rsidP="00F92DC6">
      <w:pPr>
        <w:rPr>
          <w:rFonts w:ascii="Arial" w:hAnsi="Arial" w:cs="Arial"/>
          <w:sz w:val="22"/>
          <w:szCs w:val="22"/>
          <w:lang w:val="en-NZ"/>
        </w:rPr>
      </w:pPr>
    </w:p>
    <w:p w14:paraId="084796B5" w14:textId="419E377D"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t>When determining the extent of the conflict, the member should consider:</w:t>
      </w:r>
    </w:p>
    <w:p w14:paraId="3D6D4E4F" w14:textId="77777777" w:rsidR="00F92DC6" w:rsidRPr="004E77AE" w:rsidRDefault="00F92DC6" w:rsidP="00F92DC6">
      <w:pPr>
        <w:numPr>
          <w:ilvl w:val="0"/>
          <w:numId w:val="41"/>
        </w:numPr>
        <w:rPr>
          <w:rFonts w:ascii="Arial" w:hAnsi="Arial" w:cs="Arial"/>
          <w:sz w:val="22"/>
          <w:szCs w:val="22"/>
          <w:lang w:val="en-NZ"/>
        </w:rPr>
      </w:pPr>
      <w:r w:rsidRPr="004E77AE">
        <w:rPr>
          <w:rFonts w:ascii="Arial" w:hAnsi="Arial" w:cs="Arial"/>
          <w:sz w:val="22"/>
          <w:szCs w:val="22"/>
          <w:lang w:val="en-NZ"/>
        </w:rPr>
        <w:t>what are the obligations to each role or organisation;</w:t>
      </w:r>
    </w:p>
    <w:p w14:paraId="256206A7" w14:textId="77777777" w:rsidR="00F92DC6" w:rsidRPr="004E77AE" w:rsidRDefault="00F92DC6" w:rsidP="00F92DC6">
      <w:pPr>
        <w:numPr>
          <w:ilvl w:val="0"/>
          <w:numId w:val="41"/>
        </w:numPr>
        <w:rPr>
          <w:rFonts w:ascii="Arial" w:hAnsi="Arial" w:cs="Arial"/>
          <w:sz w:val="22"/>
          <w:szCs w:val="22"/>
          <w:lang w:val="en-NZ"/>
        </w:rPr>
      </w:pPr>
      <w:r w:rsidRPr="004E77AE">
        <w:rPr>
          <w:rFonts w:ascii="Arial" w:hAnsi="Arial" w:cs="Arial"/>
          <w:sz w:val="22"/>
          <w:szCs w:val="22"/>
          <w:lang w:val="en-NZ"/>
        </w:rPr>
        <w:t xml:space="preserve">whether both organisations are clear about what your obligations are to each of them </w:t>
      </w:r>
    </w:p>
    <w:p w14:paraId="3CA5FDA6" w14:textId="77777777" w:rsidR="00F92DC6" w:rsidRPr="004E77AE" w:rsidRDefault="00F92DC6" w:rsidP="00F92DC6">
      <w:pPr>
        <w:numPr>
          <w:ilvl w:val="0"/>
          <w:numId w:val="41"/>
        </w:numPr>
        <w:rPr>
          <w:rFonts w:ascii="Arial" w:hAnsi="Arial" w:cs="Arial"/>
          <w:sz w:val="22"/>
          <w:szCs w:val="22"/>
          <w:lang w:val="en-NZ"/>
        </w:rPr>
      </w:pPr>
      <w:r w:rsidRPr="004E77AE">
        <w:rPr>
          <w:rFonts w:ascii="Arial" w:hAnsi="Arial" w:cs="Arial"/>
          <w:sz w:val="22"/>
          <w:szCs w:val="22"/>
          <w:lang w:val="en-NZ"/>
        </w:rPr>
        <w:t>any situations where conflict between the goals of each organisation might arise.</w:t>
      </w:r>
    </w:p>
    <w:p w14:paraId="47009FFF" w14:textId="77777777" w:rsidR="00F92DC6" w:rsidRPr="004E77AE" w:rsidRDefault="00F92DC6" w:rsidP="00F92DC6">
      <w:pPr>
        <w:rPr>
          <w:rFonts w:ascii="Arial" w:hAnsi="Arial" w:cs="Arial"/>
          <w:sz w:val="22"/>
          <w:szCs w:val="22"/>
          <w:lang w:val="en-NZ"/>
        </w:rPr>
      </w:pPr>
    </w:p>
    <w:p w14:paraId="7E06D98B" w14:textId="77777777" w:rsidR="00F92DC6" w:rsidRPr="004E77AE" w:rsidRDefault="00F92DC6" w:rsidP="00F92DC6">
      <w:pPr>
        <w:numPr>
          <w:ilvl w:val="0"/>
          <w:numId w:val="36"/>
        </w:numPr>
        <w:rPr>
          <w:rFonts w:ascii="Arial" w:hAnsi="Arial" w:cs="Arial"/>
          <w:i/>
          <w:iCs/>
          <w:sz w:val="22"/>
          <w:szCs w:val="22"/>
          <w:lang w:val="en-NZ"/>
        </w:rPr>
      </w:pPr>
      <w:r w:rsidRPr="004E77AE">
        <w:rPr>
          <w:rFonts w:ascii="Arial" w:hAnsi="Arial" w:cs="Arial"/>
          <w:i/>
          <w:iCs/>
          <w:sz w:val="22"/>
          <w:szCs w:val="22"/>
          <w:lang w:val="en-NZ"/>
        </w:rPr>
        <w:t>Predetermination</w:t>
      </w:r>
    </w:p>
    <w:p w14:paraId="67D49684" w14:textId="77777777" w:rsidR="00F92DC6" w:rsidRPr="004E77AE" w:rsidRDefault="00F92DC6" w:rsidP="00F92DC6">
      <w:pPr>
        <w:rPr>
          <w:rFonts w:ascii="Arial" w:hAnsi="Arial" w:cs="Arial"/>
          <w:sz w:val="22"/>
          <w:szCs w:val="22"/>
          <w:lang w:val="en-NZ"/>
        </w:rPr>
      </w:pPr>
      <w:r w:rsidRPr="004E77AE">
        <w:rPr>
          <w:rFonts w:ascii="Arial" w:hAnsi="Arial" w:cs="Arial"/>
          <w:sz w:val="22"/>
          <w:szCs w:val="22"/>
          <w:lang w:val="en-NZ"/>
        </w:rPr>
        <w:br/>
        <w:t>Predetermination is any situation where someone makes a decision and there is a risk that people will think you made up your mind before you considered all of the evidence. In assessing applications, this could be based on a perception that one applicant “deserves” project funding more than another, or a bad or good experience with the individual, their institution or their research by a panel member that may influence their decision.</w:t>
      </w:r>
    </w:p>
    <w:p w14:paraId="619F2AE1" w14:textId="77777777" w:rsidR="00F92DC6" w:rsidRPr="004E77AE" w:rsidRDefault="00F92DC6" w:rsidP="00F92DC6">
      <w:pPr>
        <w:rPr>
          <w:rFonts w:ascii="Arial" w:hAnsi="Arial" w:cs="Arial"/>
          <w:sz w:val="22"/>
          <w:szCs w:val="22"/>
          <w:lang w:val="en-NZ"/>
        </w:rPr>
      </w:pPr>
    </w:p>
    <w:p w14:paraId="15979C94" w14:textId="77777777" w:rsidR="00F92DC6" w:rsidRPr="004E77AE" w:rsidRDefault="00F92DC6" w:rsidP="00F92DC6">
      <w:pPr>
        <w:rPr>
          <w:rFonts w:ascii="Arial" w:hAnsi="Arial" w:cs="Arial"/>
          <w:sz w:val="22"/>
          <w:szCs w:val="22"/>
        </w:rPr>
      </w:pPr>
    </w:p>
    <w:sectPr w:rsidR="00F92DC6" w:rsidRPr="004E77AE" w:rsidSect="005D0102">
      <w:pgSz w:w="11907" w:h="16839" w:code="9"/>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AB34" w14:textId="77777777" w:rsidR="0055487F" w:rsidRDefault="0055487F" w:rsidP="006F4D3C">
      <w:r>
        <w:separator/>
      </w:r>
    </w:p>
  </w:endnote>
  <w:endnote w:type="continuationSeparator" w:id="0">
    <w:p w14:paraId="011C44CC" w14:textId="77777777" w:rsidR="0055487F" w:rsidRDefault="0055487F" w:rsidP="006F4D3C">
      <w:r>
        <w:continuationSeparator/>
      </w:r>
    </w:p>
  </w:endnote>
  <w:endnote w:type="continuationNotice" w:id="1">
    <w:p w14:paraId="507F3CF1" w14:textId="77777777" w:rsidR="007E1CC5" w:rsidRDefault="007E1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saka">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B4D5" w14:textId="77777777" w:rsidR="0074539F" w:rsidRDefault="0074539F">
    <w:pPr>
      <w:pStyle w:val="Footer"/>
      <w:jc w:val="center"/>
    </w:pPr>
    <w:r>
      <w:fldChar w:fldCharType="begin"/>
    </w:r>
    <w:r>
      <w:instrText xml:space="preserve"> PAGE   \* MERGEFORMAT </w:instrText>
    </w:r>
    <w:r>
      <w:fldChar w:fldCharType="separate"/>
    </w:r>
    <w:r>
      <w:rPr>
        <w:noProof/>
      </w:rPr>
      <w:t>2</w:t>
    </w:r>
    <w:r>
      <w:rPr>
        <w:noProof/>
      </w:rPr>
      <w:fldChar w:fldCharType="end"/>
    </w:r>
  </w:p>
  <w:p w14:paraId="1BDD3DC0" w14:textId="77777777" w:rsidR="0074539F" w:rsidRDefault="0074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0196" w14:textId="77777777" w:rsidR="0055487F" w:rsidRDefault="0055487F" w:rsidP="006F4D3C">
      <w:r>
        <w:separator/>
      </w:r>
    </w:p>
  </w:footnote>
  <w:footnote w:type="continuationSeparator" w:id="0">
    <w:p w14:paraId="41C8E3C5" w14:textId="77777777" w:rsidR="0055487F" w:rsidRDefault="0055487F" w:rsidP="006F4D3C">
      <w:r>
        <w:continuationSeparator/>
      </w:r>
    </w:p>
  </w:footnote>
  <w:footnote w:type="continuationNotice" w:id="1">
    <w:p w14:paraId="1ED3345C" w14:textId="77777777" w:rsidR="007E1CC5" w:rsidRDefault="007E1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CDF1" w14:textId="00C04D8C" w:rsidR="0074539F" w:rsidRPr="00C81927" w:rsidRDefault="0074539F" w:rsidP="00C81927">
    <w:pPr>
      <w:pStyle w:val="Header"/>
      <w:tabs>
        <w:tab w:val="left" w:pos="2360"/>
        <w:tab w:val="right" w:pos="9027"/>
      </w:tabs>
      <w:jc w:val="left"/>
      <w:rPr>
        <w:b/>
        <w:color w:val="FF0000"/>
      </w:rPr>
    </w:pPr>
    <w:r w:rsidRPr="00C81927">
      <w:rPr>
        <w:b/>
        <w:color w:val="FF0000"/>
      </w:rPr>
      <w:tab/>
    </w:r>
    <w:r w:rsidRPr="00C81927">
      <w:rPr>
        <w:b/>
        <w:color w:val="FF0000"/>
      </w:rPr>
      <w:tab/>
    </w:r>
    <w:r w:rsidR="00332E04">
      <w:rPr>
        <w:b/>
        <w:noProof/>
        <w:color w:val="FF0000"/>
      </w:rPr>
      <w:drawing>
        <wp:anchor distT="0" distB="0" distL="114300" distR="114300" simplePos="0" relativeHeight="251658240" behindDoc="0" locked="0" layoutInCell="1" allowOverlap="1" wp14:anchorId="4A88A140" wp14:editId="3FE64A61">
          <wp:simplePos x="0" y="0"/>
          <wp:positionH relativeFrom="column">
            <wp:posOffset>3763010</wp:posOffset>
          </wp:positionH>
          <wp:positionV relativeFrom="paragraph">
            <wp:posOffset>-142875</wp:posOffset>
          </wp:positionV>
          <wp:extent cx="1800225" cy="514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490"/>
    <w:multiLevelType w:val="hybridMultilevel"/>
    <w:tmpl w:val="2DF6AD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40B3A81"/>
    <w:multiLevelType w:val="hybridMultilevel"/>
    <w:tmpl w:val="08B0C2EE"/>
    <w:lvl w:ilvl="0" w:tplc="C9766036">
      <w:start w:val="1"/>
      <w:numFmt w:val="bullet"/>
      <w:pStyle w:val="mileston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A11F85"/>
    <w:multiLevelType w:val="hybridMultilevel"/>
    <w:tmpl w:val="DD3E42A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8CCC9F"/>
    <w:multiLevelType w:val="hybridMultilevel"/>
    <w:tmpl w:val="E94A45A0"/>
    <w:lvl w:ilvl="0" w:tplc="826CD07A">
      <w:start w:val="1"/>
      <w:numFmt w:val="bullet"/>
      <w:lvlText w:val=""/>
      <w:lvlJc w:val="left"/>
      <w:pPr>
        <w:ind w:left="360" w:hanging="360"/>
      </w:pPr>
      <w:rPr>
        <w:rFonts w:ascii="Symbol" w:hAnsi="Symbol" w:hint="default"/>
      </w:rPr>
    </w:lvl>
    <w:lvl w:ilvl="1" w:tplc="875A3166">
      <w:start w:val="1"/>
      <w:numFmt w:val="bullet"/>
      <w:lvlText w:val="o"/>
      <w:lvlJc w:val="left"/>
      <w:pPr>
        <w:ind w:left="1080" w:hanging="360"/>
      </w:pPr>
      <w:rPr>
        <w:rFonts w:ascii="Courier New" w:hAnsi="Courier New" w:hint="default"/>
      </w:rPr>
    </w:lvl>
    <w:lvl w:ilvl="2" w:tplc="78B65BC8">
      <w:start w:val="1"/>
      <w:numFmt w:val="bullet"/>
      <w:lvlText w:val=""/>
      <w:lvlJc w:val="left"/>
      <w:pPr>
        <w:ind w:left="1800" w:hanging="360"/>
      </w:pPr>
      <w:rPr>
        <w:rFonts w:ascii="Wingdings" w:hAnsi="Wingdings" w:hint="default"/>
      </w:rPr>
    </w:lvl>
    <w:lvl w:ilvl="3" w:tplc="6FC09B44">
      <w:start w:val="1"/>
      <w:numFmt w:val="bullet"/>
      <w:lvlText w:val=""/>
      <w:lvlJc w:val="left"/>
      <w:pPr>
        <w:ind w:left="2520" w:hanging="360"/>
      </w:pPr>
      <w:rPr>
        <w:rFonts w:ascii="Symbol" w:hAnsi="Symbol" w:hint="default"/>
      </w:rPr>
    </w:lvl>
    <w:lvl w:ilvl="4" w:tplc="02828282">
      <w:start w:val="1"/>
      <w:numFmt w:val="bullet"/>
      <w:lvlText w:val="o"/>
      <w:lvlJc w:val="left"/>
      <w:pPr>
        <w:ind w:left="3240" w:hanging="360"/>
      </w:pPr>
      <w:rPr>
        <w:rFonts w:ascii="Courier New" w:hAnsi="Courier New" w:hint="default"/>
      </w:rPr>
    </w:lvl>
    <w:lvl w:ilvl="5" w:tplc="265A9E18">
      <w:start w:val="1"/>
      <w:numFmt w:val="bullet"/>
      <w:lvlText w:val=""/>
      <w:lvlJc w:val="left"/>
      <w:pPr>
        <w:ind w:left="3960" w:hanging="360"/>
      </w:pPr>
      <w:rPr>
        <w:rFonts w:ascii="Wingdings" w:hAnsi="Wingdings" w:hint="default"/>
      </w:rPr>
    </w:lvl>
    <w:lvl w:ilvl="6" w:tplc="9CAE6BC2">
      <w:start w:val="1"/>
      <w:numFmt w:val="bullet"/>
      <w:lvlText w:val=""/>
      <w:lvlJc w:val="left"/>
      <w:pPr>
        <w:ind w:left="4680" w:hanging="360"/>
      </w:pPr>
      <w:rPr>
        <w:rFonts w:ascii="Symbol" w:hAnsi="Symbol" w:hint="default"/>
      </w:rPr>
    </w:lvl>
    <w:lvl w:ilvl="7" w:tplc="6FD0E848">
      <w:start w:val="1"/>
      <w:numFmt w:val="bullet"/>
      <w:lvlText w:val="o"/>
      <w:lvlJc w:val="left"/>
      <w:pPr>
        <w:ind w:left="5400" w:hanging="360"/>
      </w:pPr>
      <w:rPr>
        <w:rFonts w:ascii="Courier New" w:hAnsi="Courier New" w:hint="default"/>
      </w:rPr>
    </w:lvl>
    <w:lvl w:ilvl="8" w:tplc="96CE01C6">
      <w:start w:val="1"/>
      <w:numFmt w:val="bullet"/>
      <w:lvlText w:val=""/>
      <w:lvlJc w:val="left"/>
      <w:pPr>
        <w:ind w:left="6120" w:hanging="360"/>
      </w:pPr>
      <w:rPr>
        <w:rFonts w:ascii="Wingdings" w:hAnsi="Wingdings" w:hint="default"/>
      </w:rPr>
    </w:lvl>
  </w:abstractNum>
  <w:abstractNum w:abstractNumId="4" w15:restartNumberingAfterBreak="0">
    <w:nsid w:val="09A47D73"/>
    <w:multiLevelType w:val="hybridMultilevel"/>
    <w:tmpl w:val="14742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5AA039"/>
    <w:multiLevelType w:val="hybridMultilevel"/>
    <w:tmpl w:val="7FEADBC2"/>
    <w:lvl w:ilvl="0" w:tplc="2474D8B4">
      <w:start w:val="1"/>
      <w:numFmt w:val="bullet"/>
      <w:lvlText w:val=""/>
      <w:lvlJc w:val="left"/>
      <w:pPr>
        <w:ind w:left="360" w:hanging="360"/>
      </w:pPr>
      <w:rPr>
        <w:rFonts w:ascii="Symbol" w:hAnsi="Symbol" w:hint="default"/>
      </w:rPr>
    </w:lvl>
    <w:lvl w:ilvl="1" w:tplc="03121F5A">
      <w:start w:val="1"/>
      <w:numFmt w:val="bullet"/>
      <w:lvlText w:val="o"/>
      <w:lvlJc w:val="left"/>
      <w:pPr>
        <w:ind w:left="1080" w:hanging="360"/>
      </w:pPr>
      <w:rPr>
        <w:rFonts w:ascii="Courier New" w:hAnsi="Courier New" w:hint="default"/>
      </w:rPr>
    </w:lvl>
    <w:lvl w:ilvl="2" w:tplc="3B7218F4">
      <w:start w:val="1"/>
      <w:numFmt w:val="bullet"/>
      <w:lvlText w:val=""/>
      <w:lvlJc w:val="left"/>
      <w:pPr>
        <w:ind w:left="1800" w:hanging="360"/>
      </w:pPr>
      <w:rPr>
        <w:rFonts w:ascii="Wingdings" w:hAnsi="Wingdings" w:hint="default"/>
      </w:rPr>
    </w:lvl>
    <w:lvl w:ilvl="3" w:tplc="C48E1362">
      <w:start w:val="1"/>
      <w:numFmt w:val="bullet"/>
      <w:lvlText w:val=""/>
      <w:lvlJc w:val="left"/>
      <w:pPr>
        <w:ind w:left="2520" w:hanging="360"/>
      </w:pPr>
      <w:rPr>
        <w:rFonts w:ascii="Symbol" w:hAnsi="Symbol" w:hint="default"/>
      </w:rPr>
    </w:lvl>
    <w:lvl w:ilvl="4" w:tplc="E8328168">
      <w:start w:val="1"/>
      <w:numFmt w:val="bullet"/>
      <w:lvlText w:val="o"/>
      <w:lvlJc w:val="left"/>
      <w:pPr>
        <w:ind w:left="3240" w:hanging="360"/>
      </w:pPr>
      <w:rPr>
        <w:rFonts w:ascii="Courier New" w:hAnsi="Courier New" w:hint="default"/>
      </w:rPr>
    </w:lvl>
    <w:lvl w:ilvl="5" w:tplc="F2EC06CC">
      <w:start w:val="1"/>
      <w:numFmt w:val="bullet"/>
      <w:lvlText w:val=""/>
      <w:lvlJc w:val="left"/>
      <w:pPr>
        <w:ind w:left="3960" w:hanging="360"/>
      </w:pPr>
      <w:rPr>
        <w:rFonts w:ascii="Wingdings" w:hAnsi="Wingdings" w:hint="default"/>
      </w:rPr>
    </w:lvl>
    <w:lvl w:ilvl="6" w:tplc="44C81FDC">
      <w:start w:val="1"/>
      <w:numFmt w:val="bullet"/>
      <w:lvlText w:val=""/>
      <w:lvlJc w:val="left"/>
      <w:pPr>
        <w:ind w:left="4680" w:hanging="360"/>
      </w:pPr>
      <w:rPr>
        <w:rFonts w:ascii="Symbol" w:hAnsi="Symbol" w:hint="default"/>
      </w:rPr>
    </w:lvl>
    <w:lvl w:ilvl="7" w:tplc="8FF8A262">
      <w:start w:val="1"/>
      <w:numFmt w:val="bullet"/>
      <w:lvlText w:val="o"/>
      <w:lvlJc w:val="left"/>
      <w:pPr>
        <w:ind w:left="5400" w:hanging="360"/>
      </w:pPr>
      <w:rPr>
        <w:rFonts w:ascii="Courier New" w:hAnsi="Courier New" w:hint="default"/>
      </w:rPr>
    </w:lvl>
    <w:lvl w:ilvl="8" w:tplc="2C2E325C">
      <w:start w:val="1"/>
      <w:numFmt w:val="bullet"/>
      <w:lvlText w:val=""/>
      <w:lvlJc w:val="left"/>
      <w:pPr>
        <w:ind w:left="6120" w:hanging="360"/>
      </w:pPr>
      <w:rPr>
        <w:rFonts w:ascii="Wingdings" w:hAnsi="Wingdings" w:hint="default"/>
      </w:rPr>
    </w:lvl>
  </w:abstractNum>
  <w:abstractNum w:abstractNumId="6" w15:restartNumberingAfterBreak="0">
    <w:nsid w:val="18CC093E"/>
    <w:multiLevelType w:val="hybridMultilevel"/>
    <w:tmpl w:val="5C2E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67246"/>
    <w:multiLevelType w:val="multilevel"/>
    <w:tmpl w:val="683E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91696D"/>
    <w:multiLevelType w:val="hybridMultilevel"/>
    <w:tmpl w:val="AF363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710125"/>
    <w:multiLevelType w:val="multilevel"/>
    <w:tmpl w:val="083A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9130CD"/>
    <w:multiLevelType w:val="hybridMultilevel"/>
    <w:tmpl w:val="89F4E1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0D250BB"/>
    <w:multiLevelType w:val="hybridMultilevel"/>
    <w:tmpl w:val="BEA8A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850D3D"/>
    <w:multiLevelType w:val="hybridMultilevel"/>
    <w:tmpl w:val="057CE3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17E1C"/>
    <w:multiLevelType w:val="hybridMultilevel"/>
    <w:tmpl w:val="5394AC06"/>
    <w:lvl w:ilvl="0" w:tplc="11D0989E">
      <w:start w:val="1"/>
      <w:numFmt w:val="bullet"/>
      <w:lvlText w:val=""/>
      <w:lvlJc w:val="left"/>
      <w:pPr>
        <w:ind w:left="360" w:hanging="360"/>
      </w:pPr>
      <w:rPr>
        <w:rFonts w:ascii="Symbol" w:hAnsi="Symbol" w:hint="default"/>
      </w:rPr>
    </w:lvl>
    <w:lvl w:ilvl="1" w:tplc="7FAC4B08">
      <w:start w:val="1"/>
      <w:numFmt w:val="bullet"/>
      <w:lvlText w:val="o"/>
      <w:lvlJc w:val="left"/>
      <w:pPr>
        <w:ind w:left="1080" w:hanging="360"/>
      </w:pPr>
      <w:rPr>
        <w:rFonts w:ascii="Courier New" w:hAnsi="Courier New" w:hint="default"/>
      </w:rPr>
    </w:lvl>
    <w:lvl w:ilvl="2" w:tplc="020A7F46">
      <w:start w:val="1"/>
      <w:numFmt w:val="bullet"/>
      <w:lvlText w:val=""/>
      <w:lvlJc w:val="left"/>
      <w:pPr>
        <w:ind w:left="1800" w:hanging="360"/>
      </w:pPr>
      <w:rPr>
        <w:rFonts w:ascii="Wingdings" w:hAnsi="Wingdings" w:hint="default"/>
      </w:rPr>
    </w:lvl>
    <w:lvl w:ilvl="3" w:tplc="1B0E5340">
      <w:start w:val="1"/>
      <w:numFmt w:val="bullet"/>
      <w:lvlText w:val=""/>
      <w:lvlJc w:val="left"/>
      <w:pPr>
        <w:ind w:left="2520" w:hanging="360"/>
      </w:pPr>
      <w:rPr>
        <w:rFonts w:ascii="Symbol" w:hAnsi="Symbol" w:hint="default"/>
      </w:rPr>
    </w:lvl>
    <w:lvl w:ilvl="4" w:tplc="1B669CBA">
      <w:start w:val="1"/>
      <w:numFmt w:val="bullet"/>
      <w:lvlText w:val="o"/>
      <w:lvlJc w:val="left"/>
      <w:pPr>
        <w:ind w:left="3240" w:hanging="360"/>
      </w:pPr>
      <w:rPr>
        <w:rFonts w:ascii="Courier New" w:hAnsi="Courier New" w:hint="default"/>
      </w:rPr>
    </w:lvl>
    <w:lvl w:ilvl="5" w:tplc="1D686552">
      <w:start w:val="1"/>
      <w:numFmt w:val="bullet"/>
      <w:lvlText w:val=""/>
      <w:lvlJc w:val="left"/>
      <w:pPr>
        <w:ind w:left="3960" w:hanging="360"/>
      </w:pPr>
      <w:rPr>
        <w:rFonts w:ascii="Wingdings" w:hAnsi="Wingdings" w:hint="default"/>
      </w:rPr>
    </w:lvl>
    <w:lvl w:ilvl="6" w:tplc="8F54F8B4">
      <w:start w:val="1"/>
      <w:numFmt w:val="bullet"/>
      <w:lvlText w:val=""/>
      <w:lvlJc w:val="left"/>
      <w:pPr>
        <w:ind w:left="4680" w:hanging="360"/>
      </w:pPr>
      <w:rPr>
        <w:rFonts w:ascii="Symbol" w:hAnsi="Symbol" w:hint="default"/>
      </w:rPr>
    </w:lvl>
    <w:lvl w:ilvl="7" w:tplc="D71E1F56">
      <w:start w:val="1"/>
      <w:numFmt w:val="bullet"/>
      <w:lvlText w:val="o"/>
      <w:lvlJc w:val="left"/>
      <w:pPr>
        <w:ind w:left="5400" w:hanging="360"/>
      </w:pPr>
      <w:rPr>
        <w:rFonts w:ascii="Courier New" w:hAnsi="Courier New" w:hint="default"/>
      </w:rPr>
    </w:lvl>
    <w:lvl w:ilvl="8" w:tplc="6FF8E810">
      <w:start w:val="1"/>
      <w:numFmt w:val="bullet"/>
      <w:lvlText w:val=""/>
      <w:lvlJc w:val="left"/>
      <w:pPr>
        <w:ind w:left="6120" w:hanging="360"/>
      </w:pPr>
      <w:rPr>
        <w:rFonts w:ascii="Wingdings" w:hAnsi="Wingdings" w:hint="default"/>
      </w:rPr>
    </w:lvl>
  </w:abstractNum>
  <w:abstractNum w:abstractNumId="14" w15:restartNumberingAfterBreak="0">
    <w:nsid w:val="2D832E9F"/>
    <w:multiLevelType w:val="hybridMultilevel"/>
    <w:tmpl w:val="E954CB04"/>
    <w:lvl w:ilvl="0" w:tplc="14090001">
      <w:start w:val="1"/>
      <w:numFmt w:val="bullet"/>
      <w:lvlText w:val=""/>
      <w:lvlJc w:val="left"/>
      <w:pPr>
        <w:tabs>
          <w:tab w:val="num" w:pos="567"/>
        </w:tabs>
        <w:ind w:left="567"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A77F5C"/>
    <w:multiLevelType w:val="multilevel"/>
    <w:tmpl w:val="6A8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22195"/>
    <w:multiLevelType w:val="hybridMultilevel"/>
    <w:tmpl w:val="49860FC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C52CCE"/>
    <w:multiLevelType w:val="hybridMultilevel"/>
    <w:tmpl w:val="0AE69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B12AEE"/>
    <w:multiLevelType w:val="hybridMultilevel"/>
    <w:tmpl w:val="A2B8E432"/>
    <w:lvl w:ilvl="0" w:tplc="A3E895A2">
      <w:start w:val="8"/>
      <w:numFmt w:val="bullet"/>
      <w:pStyle w:val="ListMWC"/>
      <w:lvlText w:val="-"/>
      <w:lvlJc w:val="left"/>
      <w:pPr>
        <w:tabs>
          <w:tab w:val="num" w:pos="567"/>
        </w:tabs>
        <w:ind w:left="567" w:hanging="283"/>
      </w:pPr>
      <w:rPr>
        <w:rFonts w:ascii="Times New Roman" w:eastAsia="Times New Roman" w:hAnsi="Times New Roman"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66DBE"/>
    <w:multiLevelType w:val="hybridMultilevel"/>
    <w:tmpl w:val="624C8C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1935EC"/>
    <w:multiLevelType w:val="hybridMultilevel"/>
    <w:tmpl w:val="9AA2DAB8"/>
    <w:lvl w:ilvl="0" w:tplc="14090001">
      <w:start w:val="1"/>
      <w:numFmt w:val="bullet"/>
      <w:lvlText w:val=""/>
      <w:lvlJc w:val="left"/>
      <w:pPr>
        <w:ind w:left="720" w:hanging="360"/>
      </w:pPr>
      <w:rPr>
        <w:rFonts w:ascii="Symbol" w:hAnsi="Symbol" w:hint="default"/>
      </w:rPr>
    </w:lvl>
    <w:lvl w:ilvl="1" w:tplc="88EE7880">
      <w:numFmt w:val="bullet"/>
      <w:lvlText w:val="·"/>
      <w:lvlJc w:val="left"/>
      <w:pPr>
        <w:ind w:left="1474" w:hanging="394"/>
      </w:pPr>
      <w:rPr>
        <w:rFonts w:ascii="Calibri" w:eastAsiaTheme="minorEastAsia"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4757C9"/>
    <w:multiLevelType w:val="hybridMultilevel"/>
    <w:tmpl w:val="6750CC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7DB6B67"/>
    <w:multiLevelType w:val="hybridMultilevel"/>
    <w:tmpl w:val="9BC8D5E8"/>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48786DB0"/>
    <w:multiLevelType w:val="hybridMultilevel"/>
    <w:tmpl w:val="3E14D2A0"/>
    <w:lvl w:ilvl="0" w:tplc="1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AE50AEC"/>
    <w:multiLevelType w:val="hybridMultilevel"/>
    <w:tmpl w:val="EA56A1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176FF6"/>
    <w:multiLevelType w:val="hybridMultilevel"/>
    <w:tmpl w:val="FF9EE6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16B45C0"/>
    <w:multiLevelType w:val="hybridMultilevel"/>
    <w:tmpl w:val="36CA3334"/>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EA325D"/>
    <w:multiLevelType w:val="hybridMultilevel"/>
    <w:tmpl w:val="A946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954E5"/>
    <w:multiLevelType w:val="hybridMultilevel"/>
    <w:tmpl w:val="041CF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36A50C4"/>
    <w:multiLevelType w:val="hybridMultilevel"/>
    <w:tmpl w:val="95660004"/>
    <w:lvl w:ilvl="0" w:tplc="1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4F17C35"/>
    <w:multiLevelType w:val="multilevel"/>
    <w:tmpl w:val="B4F8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61040"/>
    <w:multiLevelType w:val="hybridMultilevel"/>
    <w:tmpl w:val="BDE22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DB57C3"/>
    <w:multiLevelType w:val="hybridMultilevel"/>
    <w:tmpl w:val="A5AA07D2"/>
    <w:lvl w:ilvl="0" w:tplc="80165350">
      <w:start w:val="1"/>
      <w:numFmt w:val="decimal"/>
      <w:lvlText w:val="%1."/>
      <w:lvlJc w:val="left"/>
      <w:pPr>
        <w:ind w:left="428" w:hanging="360"/>
      </w:pPr>
      <w:rPr>
        <w:rFonts w:hint="default"/>
      </w:r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33" w15:restartNumberingAfterBreak="0">
    <w:nsid w:val="665A65CC"/>
    <w:multiLevelType w:val="multilevel"/>
    <w:tmpl w:val="11821F7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6C793B3C"/>
    <w:multiLevelType w:val="hybridMultilevel"/>
    <w:tmpl w:val="0616EB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DBC1F84"/>
    <w:multiLevelType w:val="hybridMultilevel"/>
    <w:tmpl w:val="4F701050"/>
    <w:lvl w:ilvl="0" w:tplc="32869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4C1FE1"/>
    <w:multiLevelType w:val="hybridMultilevel"/>
    <w:tmpl w:val="1C8C89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4664391"/>
    <w:multiLevelType w:val="hybridMultilevel"/>
    <w:tmpl w:val="A76EC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8BF76BD"/>
    <w:multiLevelType w:val="hybridMultilevel"/>
    <w:tmpl w:val="04A8DD72"/>
    <w:lvl w:ilvl="0" w:tplc="14090001">
      <w:start w:val="1"/>
      <w:numFmt w:val="bullet"/>
      <w:lvlText w:val=""/>
      <w:lvlJc w:val="left"/>
      <w:pPr>
        <w:tabs>
          <w:tab w:val="num" w:pos="567"/>
        </w:tabs>
        <w:ind w:left="567"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470487295">
    <w:abstractNumId w:val="1"/>
  </w:num>
  <w:num w:numId="2" w16cid:durableId="1389454262">
    <w:abstractNumId w:val="18"/>
  </w:num>
  <w:num w:numId="3" w16cid:durableId="461271732">
    <w:abstractNumId w:val="21"/>
  </w:num>
  <w:num w:numId="4" w16cid:durableId="221478464">
    <w:abstractNumId w:val="8"/>
  </w:num>
  <w:num w:numId="5" w16cid:durableId="1070805034">
    <w:abstractNumId w:val="20"/>
  </w:num>
  <w:num w:numId="6" w16cid:durableId="1089305839">
    <w:abstractNumId w:val="0"/>
  </w:num>
  <w:num w:numId="7" w16cid:durableId="679084357">
    <w:abstractNumId w:val="22"/>
  </w:num>
  <w:num w:numId="8" w16cid:durableId="656424020">
    <w:abstractNumId w:val="11"/>
  </w:num>
  <w:num w:numId="9" w16cid:durableId="1931156562">
    <w:abstractNumId w:val="5"/>
  </w:num>
  <w:num w:numId="10" w16cid:durableId="451291131">
    <w:abstractNumId w:val="13"/>
  </w:num>
  <w:num w:numId="11" w16cid:durableId="53700430">
    <w:abstractNumId w:val="3"/>
  </w:num>
  <w:num w:numId="12" w16cid:durableId="1582065415">
    <w:abstractNumId w:val="24"/>
  </w:num>
  <w:num w:numId="13" w16cid:durableId="1864130221">
    <w:abstractNumId w:val="28"/>
  </w:num>
  <w:num w:numId="14" w16cid:durableId="309485984">
    <w:abstractNumId w:val="36"/>
  </w:num>
  <w:num w:numId="15" w16cid:durableId="921836905">
    <w:abstractNumId w:val="4"/>
  </w:num>
  <w:num w:numId="16" w16cid:durableId="625819885">
    <w:abstractNumId w:val="37"/>
  </w:num>
  <w:num w:numId="17" w16cid:durableId="844053456">
    <w:abstractNumId w:val="25"/>
  </w:num>
  <w:num w:numId="18" w16cid:durableId="1984852201">
    <w:abstractNumId w:val="2"/>
  </w:num>
  <w:num w:numId="19" w16cid:durableId="1055851735">
    <w:abstractNumId w:val="34"/>
  </w:num>
  <w:num w:numId="20" w16cid:durableId="1292785823">
    <w:abstractNumId w:val="23"/>
  </w:num>
  <w:num w:numId="21" w16cid:durableId="1005479410">
    <w:abstractNumId w:val="29"/>
  </w:num>
  <w:num w:numId="22" w16cid:durableId="1242374271">
    <w:abstractNumId w:val="31"/>
  </w:num>
  <w:num w:numId="23" w16cid:durableId="654650391">
    <w:abstractNumId w:val="17"/>
  </w:num>
  <w:num w:numId="24" w16cid:durableId="1325937836">
    <w:abstractNumId w:val="14"/>
  </w:num>
  <w:num w:numId="25" w16cid:durableId="2051034137">
    <w:abstractNumId w:val="7"/>
  </w:num>
  <w:num w:numId="26" w16cid:durableId="1809123476">
    <w:abstractNumId w:val="30"/>
  </w:num>
  <w:num w:numId="27" w16cid:durableId="2121409634">
    <w:abstractNumId w:val="15"/>
  </w:num>
  <w:num w:numId="28" w16cid:durableId="1201045073">
    <w:abstractNumId w:val="9"/>
  </w:num>
  <w:num w:numId="29" w16cid:durableId="69351919">
    <w:abstractNumId w:val="27"/>
  </w:num>
  <w:num w:numId="30" w16cid:durableId="433208113">
    <w:abstractNumId w:val="16"/>
  </w:num>
  <w:num w:numId="31" w16cid:durableId="750199114">
    <w:abstractNumId w:val="19"/>
  </w:num>
  <w:num w:numId="32" w16cid:durableId="80377299">
    <w:abstractNumId w:val="38"/>
  </w:num>
  <w:num w:numId="33" w16cid:durableId="1729109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8918405">
    <w:abstractNumId w:val="18"/>
  </w:num>
  <w:num w:numId="35" w16cid:durableId="264768684">
    <w:abstractNumId w:val="25"/>
  </w:num>
  <w:num w:numId="36" w16cid:durableId="177426097">
    <w:abstractNumId w:val="35"/>
  </w:num>
  <w:num w:numId="37" w16cid:durableId="1619408870">
    <w:abstractNumId w:val="32"/>
  </w:num>
  <w:num w:numId="38" w16cid:durableId="305817647">
    <w:abstractNumId w:val="6"/>
  </w:num>
  <w:num w:numId="39" w16cid:durableId="538200686">
    <w:abstractNumId w:val="26"/>
  </w:num>
  <w:num w:numId="40" w16cid:durableId="1924876392">
    <w:abstractNumId w:val="12"/>
  </w:num>
  <w:num w:numId="41" w16cid:durableId="209408560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activeWritingStyle w:appName="MSWord" w:lang="en-H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68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NDQ1MjEyNjQ3tDRV0lEKTi0uzszPAykwqwUAiuV5KiwAAAA="/>
  </w:docVars>
  <w:rsids>
    <w:rsidRoot w:val="00DD12C0"/>
    <w:rsid w:val="00013F14"/>
    <w:rsid w:val="00017540"/>
    <w:rsid w:val="00021269"/>
    <w:rsid w:val="00024F0C"/>
    <w:rsid w:val="00030FC5"/>
    <w:rsid w:val="00031F27"/>
    <w:rsid w:val="00043E09"/>
    <w:rsid w:val="0004629F"/>
    <w:rsid w:val="00050005"/>
    <w:rsid w:val="000618B6"/>
    <w:rsid w:val="0006279A"/>
    <w:rsid w:val="00070507"/>
    <w:rsid w:val="00070C07"/>
    <w:rsid w:val="00083A55"/>
    <w:rsid w:val="000851C8"/>
    <w:rsid w:val="00085F52"/>
    <w:rsid w:val="0009246A"/>
    <w:rsid w:val="000968ED"/>
    <w:rsid w:val="000A4883"/>
    <w:rsid w:val="000A56C9"/>
    <w:rsid w:val="000A5C02"/>
    <w:rsid w:val="000B0FF2"/>
    <w:rsid w:val="000B7F82"/>
    <w:rsid w:val="000D4DF4"/>
    <w:rsid w:val="000D61C3"/>
    <w:rsid w:val="000D6E66"/>
    <w:rsid w:val="000E73A3"/>
    <w:rsid w:val="000F061B"/>
    <w:rsid w:val="000F4AE1"/>
    <w:rsid w:val="000F51E8"/>
    <w:rsid w:val="00104FFB"/>
    <w:rsid w:val="001066F3"/>
    <w:rsid w:val="00116068"/>
    <w:rsid w:val="001217A5"/>
    <w:rsid w:val="001241A7"/>
    <w:rsid w:val="00124965"/>
    <w:rsid w:val="00126987"/>
    <w:rsid w:val="00126B03"/>
    <w:rsid w:val="00143047"/>
    <w:rsid w:val="00145682"/>
    <w:rsid w:val="00150FA5"/>
    <w:rsid w:val="00153639"/>
    <w:rsid w:val="0016019A"/>
    <w:rsid w:val="001873F3"/>
    <w:rsid w:val="00190912"/>
    <w:rsid w:val="00194926"/>
    <w:rsid w:val="00195A0A"/>
    <w:rsid w:val="001A04BD"/>
    <w:rsid w:val="001A7783"/>
    <w:rsid w:val="001B2F26"/>
    <w:rsid w:val="001B3A85"/>
    <w:rsid w:val="001C65FA"/>
    <w:rsid w:val="001E2B5B"/>
    <w:rsid w:val="001E52D8"/>
    <w:rsid w:val="001E56B7"/>
    <w:rsid w:val="0020542B"/>
    <w:rsid w:val="002062AB"/>
    <w:rsid w:val="00206705"/>
    <w:rsid w:val="0021245A"/>
    <w:rsid w:val="00226323"/>
    <w:rsid w:val="00243829"/>
    <w:rsid w:val="00265732"/>
    <w:rsid w:val="00266354"/>
    <w:rsid w:val="00267C1A"/>
    <w:rsid w:val="00272463"/>
    <w:rsid w:val="00272583"/>
    <w:rsid w:val="002764BF"/>
    <w:rsid w:val="002807A2"/>
    <w:rsid w:val="00287DD8"/>
    <w:rsid w:val="002902A6"/>
    <w:rsid w:val="00292005"/>
    <w:rsid w:val="00292373"/>
    <w:rsid w:val="002A28EB"/>
    <w:rsid w:val="002A6578"/>
    <w:rsid w:val="002B4DD3"/>
    <w:rsid w:val="002C0F9E"/>
    <w:rsid w:val="002C43A5"/>
    <w:rsid w:val="002C6FB2"/>
    <w:rsid w:val="002D2962"/>
    <w:rsid w:val="002D45D8"/>
    <w:rsid w:val="002E0A46"/>
    <w:rsid w:val="002E1D5E"/>
    <w:rsid w:val="002E3F4F"/>
    <w:rsid w:val="002F05AF"/>
    <w:rsid w:val="002F7C2C"/>
    <w:rsid w:val="003016AA"/>
    <w:rsid w:val="0031040C"/>
    <w:rsid w:val="003109B6"/>
    <w:rsid w:val="00316474"/>
    <w:rsid w:val="0032113A"/>
    <w:rsid w:val="00326DFD"/>
    <w:rsid w:val="00332E04"/>
    <w:rsid w:val="00337715"/>
    <w:rsid w:val="003510EC"/>
    <w:rsid w:val="00355CC0"/>
    <w:rsid w:val="00356B93"/>
    <w:rsid w:val="003756C6"/>
    <w:rsid w:val="003817EA"/>
    <w:rsid w:val="00381BED"/>
    <w:rsid w:val="00386E25"/>
    <w:rsid w:val="003876B9"/>
    <w:rsid w:val="0039038A"/>
    <w:rsid w:val="0039278E"/>
    <w:rsid w:val="00395416"/>
    <w:rsid w:val="003A2B88"/>
    <w:rsid w:val="003B7A3C"/>
    <w:rsid w:val="003C2E99"/>
    <w:rsid w:val="003C3C7A"/>
    <w:rsid w:val="003C4845"/>
    <w:rsid w:val="003D0B42"/>
    <w:rsid w:val="003E1117"/>
    <w:rsid w:val="003E3AEF"/>
    <w:rsid w:val="003E66A5"/>
    <w:rsid w:val="003F333E"/>
    <w:rsid w:val="003F6068"/>
    <w:rsid w:val="003F6D93"/>
    <w:rsid w:val="00405190"/>
    <w:rsid w:val="00407383"/>
    <w:rsid w:val="00412DE6"/>
    <w:rsid w:val="0041302E"/>
    <w:rsid w:val="004133D8"/>
    <w:rsid w:val="004169AE"/>
    <w:rsid w:val="004239A4"/>
    <w:rsid w:val="00433FFF"/>
    <w:rsid w:val="004345DD"/>
    <w:rsid w:val="0044070E"/>
    <w:rsid w:val="00451304"/>
    <w:rsid w:val="00451349"/>
    <w:rsid w:val="004520FC"/>
    <w:rsid w:val="0045213A"/>
    <w:rsid w:val="004552E3"/>
    <w:rsid w:val="004554F5"/>
    <w:rsid w:val="004615AF"/>
    <w:rsid w:val="00464EDC"/>
    <w:rsid w:val="00470629"/>
    <w:rsid w:val="0047322E"/>
    <w:rsid w:val="00484F67"/>
    <w:rsid w:val="004937E5"/>
    <w:rsid w:val="004B480E"/>
    <w:rsid w:val="004B485C"/>
    <w:rsid w:val="004C17DC"/>
    <w:rsid w:val="004D64B1"/>
    <w:rsid w:val="004E4C93"/>
    <w:rsid w:val="004E77AE"/>
    <w:rsid w:val="004F23D8"/>
    <w:rsid w:val="004F4F1A"/>
    <w:rsid w:val="00500F39"/>
    <w:rsid w:val="005033CA"/>
    <w:rsid w:val="00504337"/>
    <w:rsid w:val="00505AA6"/>
    <w:rsid w:val="005113B8"/>
    <w:rsid w:val="00511A4E"/>
    <w:rsid w:val="005211DB"/>
    <w:rsid w:val="005324FE"/>
    <w:rsid w:val="0053790B"/>
    <w:rsid w:val="0055487F"/>
    <w:rsid w:val="00554EBA"/>
    <w:rsid w:val="005557DF"/>
    <w:rsid w:val="00561113"/>
    <w:rsid w:val="00565C6A"/>
    <w:rsid w:val="0057264E"/>
    <w:rsid w:val="0057287A"/>
    <w:rsid w:val="00574346"/>
    <w:rsid w:val="00580C99"/>
    <w:rsid w:val="005877F9"/>
    <w:rsid w:val="0059387D"/>
    <w:rsid w:val="005A3D95"/>
    <w:rsid w:val="005B0C5B"/>
    <w:rsid w:val="005B5CEB"/>
    <w:rsid w:val="005B6CCC"/>
    <w:rsid w:val="005C06A3"/>
    <w:rsid w:val="005C4B4D"/>
    <w:rsid w:val="005C5962"/>
    <w:rsid w:val="005D0102"/>
    <w:rsid w:val="005D362C"/>
    <w:rsid w:val="005E2517"/>
    <w:rsid w:val="005E7BFE"/>
    <w:rsid w:val="006005B8"/>
    <w:rsid w:val="00600E94"/>
    <w:rsid w:val="00602682"/>
    <w:rsid w:val="00613664"/>
    <w:rsid w:val="0061484F"/>
    <w:rsid w:val="00614967"/>
    <w:rsid w:val="00626117"/>
    <w:rsid w:val="00626E5E"/>
    <w:rsid w:val="00633C67"/>
    <w:rsid w:val="00637932"/>
    <w:rsid w:val="00644151"/>
    <w:rsid w:val="006502E5"/>
    <w:rsid w:val="00652E55"/>
    <w:rsid w:val="0066039F"/>
    <w:rsid w:val="00661004"/>
    <w:rsid w:val="00665700"/>
    <w:rsid w:val="00670E33"/>
    <w:rsid w:val="00674E85"/>
    <w:rsid w:val="00675BD8"/>
    <w:rsid w:val="00676BA1"/>
    <w:rsid w:val="00677058"/>
    <w:rsid w:val="0068305F"/>
    <w:rsid w:val="006A578A"/>
    <w:rsid w:val="006B6E75"/>
    <w:rsid w:val="006B7A74"/>
    <w:rsid w:val="006C79E3"/>
    <w:rsid w:val="006D0792"/>
    <w:rsid w:val="006E7ADC"/>
    <w:rsid w:val="006F0C96"/>
    <w:rsid w:val="006F35BA"/>
    <w:rsid w:val="006F4D3C"/>
    <w:rsid w:val="00704AAB"/>
    <w:rsid w:val="007167EB"/>
    <w:rsid w:val="007217AD"/>
    <w:rsid w:val="00721862"/>
    <w:rsid w:val="00722813"/>
    <w:rsid w:val="00726F66"/>
    <w:rsid w:val="007308C3"/>
    <w:rsid w:val="007314EB"/>
    <w:rsid w:val="00742585"/>
    <w:rsid w:val="0074539F"/>
    <w:rsid w:val="00752096"/>
    <w:rsid w:val="00756186"/>
    <w:rsid w:val="00757DE4"/>
    <w:rsid w:val="00764CC3"/>
    <w:rsid w:val="007733D1"/>
    <w:rsid w:val="007734AB"/>
    <w:rsid w:val="007A75D6"/>
    <w:rsid w:val="007A7B54"/>
    <w:rsid w:val="007B1150"/>
    <w:rsid w:val="007B7AC5"/>
    <w:rsid w:val="007C3275"/>
    <w:rsid w:val="007D61E6"/>
    <w:rsid w:val="007D700A"/>
    <w:rsid w:val="007E1CC5"/>
    <w:rsid w:val="007E259D"/>
    <w:rsid w:val="007F43F0"/>
    <w:rsid w:val="007F4944"/>
    <w:rsid w:val="00801556"/>
    <w:rsid w:val="0080178B"/>
    <w:rsid w:val="00816BD8"/>
    <w:rsid w:val="00821966"/>
    <w:rsid w:val="008257C2"/>
    <w:rsid w:val="00827854"/>
    <w:rsid w:val="00830AD0"/>
    <w:rsid w:val="00840D1C"/>
    <w:rsid w:val="00841D88"/>
    <w:rsid w:val="00843451"/>
    <w:rsid w:val="00843DE0"/>
    <w:rsid w:val="008503C4"/>
    <w:rsid w:val="0085459E"/>
    <w:rsid w:val="00857DF4"/>
    <w:rsid w:val="00871E7C"/>
    <w:rsid w:val="00875BC5"/>
    <w:rsid w:val="00881A09"/>
    <w:rsid w:val="00882BF8"/>
    <w:rsid w:val="00884CEA"/>
    <w:rsid w:val="0089068E"/>
    <w:rsid w:val="008936B0"/>
    <w:rsid w:val="00896D83"/>
    <w:rsid w:val="008A0705"/>
    <w:rsid w:val="008A0896"/>
    <w:rsid w:val="008A63C2"/>
    <w:rsid w:val="008B219A"/>
    <w:rsid w:val="008B42DD"/>
    <w:rsid w:val="008D58D7"/>
    <w:rsid w:val="008F0BB6"/>
    <w:rsid w:val="008F2408"/>
    <w:rsid w:val="008F3898"/>
    <w:rsid w:val="00905285"/>
    <w:rsid w:val="0093184A"/>
    <w:rsid w:val="009337C2"/>
    <w:rsid w:val="00934528"/>
    <w:rsid w:val="00934C8B"/>
    <w:rsid w:val="00937A11"/>
    <w:rsid w:val="00940A9E"/>
    <w:rsid w:val="009562BE"/>
    <w:rsid w:val="0096757C"/>
    <w:rsid w:val="00976E97"/>
    <w:rsid w:val="009809E1"/>
    <w:rsid w:val="009869BC"/>
    <w:rsid w:val="00991DB7"/>
    <w:rsid w:val="0099642F"/>
    <w:rsid w:val="00997919"/>
    <w:rsid w:val="009A026E"/>
    <w:rsid w:val="009A03B5"/>
    <w:rsid w:val="009A0B89"/>
    <w:rsid w:val="009A6AE9"/>
    <w:rsid w:val="009B079B"/>
    <w:rsid w:val="009B0E24"/>
    <w:rsid w:val="009B3E6C"/>
    <w:rsid w:val="009B6121"/>
    <w:rsid w:val="009C297E"/>
    <w:rsid w:val="009D1796"/>
    <w:rsid w:val="009D4470"/>
    <w:rsid w:val="009D6A5A"/>
    <w:rsid w:val="009D77C5"/>
    <w:rsid w:val="009E006F"/>
    <w:rsid w:val="009E170E"/>
    <w:rsid w:val="009E72A0"/>
    <w:rsid w:val="009F49A1"/>
    <w:rsid w:val="009F63F7"/>
    <w:rsid w:val="00A033C6"/>
    <w:rsid w:val="00A03DBB"/>
    <w:rsid w:val="00A04538"/>
    <w:rsid w:val="00A1466D"/>
    <w:rsid w:val="00A258D2"/>
    <w:rsid w:val="00A46D39"/>
    <w:rsid w:val="00A54465"/>
    <w:rsid w:val="00A6588D"/>
    <w:rsid w:val="00A76ADB"/>
    <w:rsid w:val="00A811F9"/>
    <w:rsid w:val="00A93D79"/>
    <w:rsid w:val="00A94809"/>
    <w:rsid w:val="00A948C4"/>
    <w:rsid w:val="00AA4936"/>
    <w:rsid w:val="00AC0674"/>
    <w:rsid w:val="00AC3669"/>
    <w:rsid w:val="00AC5451"/>
    <w:rsid w:val="00AD0044"/>
    <w:rsid w:val="00AF0433"/>
    <w:rsid w:val="00AF121A"/>
    <w:rsid w:val="00B04704"/>
    <w:rsid w:val="00B15549"/>
    <w:rsid w:val="00B17CD9"/>
    <w:rsid w:val="00B20817"/>
    <w:rsid w:val="00B253CC"/>
    <w:rsid w:val="00B269AF"/>
    <w:rsid w:val="00B273A5"/>
    <w:rsid w:val="00B326E1"/>
    <w:rsid w:val="00B33C64"/>
    <w:rsid w:val="00B40146"/>
    <w:rsid w:val="00B4782F"/>
    <w:rsid w:val="00B51A97"/>
    <w:rsid w:val="00B5381E"/>
    <w:rsid w:val="00B63815"/>
    <w:rsid w:val="00B739ED"/>
    <w:rsid w:val="00B825D4"/>
    <w:rsid w:val="00B944B0"/>
    <w:rsid w:val="00B95E0A"/>
    <w:rsid w:val="00BA17A9"/>
    <w:rsid w:val="00BA5BA3"/>
    <w:rsid w:val="00BA6C89"/>
    <w:rsid w:val="00BB0CED"/>
    <w:rsid w:val="00BB1C13"/>
    <w:rsid w:val="00BD0C8C"/>
    <w:rsid w:val="00BD4E8F"/>
    <w:rsid w:val="00BD65BC"/>
    <w:rsid w:val="00BE3569"/>
    <w:rsid w:val="00BF1F3F"/>
    <w:rsid w:val="00C01661"/>
    <w:rsid w:val="00C06466"/>
    <w:rsid w:val="00C12DC2"/>
    <w:rsid w:val="00C309B0"/>
    <w:rsid w:val="00C340E5"/>
    <w:rsid w:val="00C41BCB"/>
    <w:rsid w:val="00C4446B"/>
    <w:rsid w:val="00C531EC"/>
    <w:rsid w:val="00C5498E"/>
    <w:rsid w:val="00C64E92"/>
    <w:rsid w:val="00C672B8"/>
    <w:rsid w:val="00C77F45"/>
    <w:rsid w:val="00C81927"/>
    <w:rsid w:val="00C9069A"/>
    <w:rsid w:val="00C911F2"/>
    <w:rsid w:val="00C96449"/>
    <w:rsid w:val="00CA457E"/>
    <w:rsid w:val="00CC1873"/>
    <w:rsid w:val="00CC5B17"/>
    <w:rsid w:val="00CD14AD"/>
    <w:rsid w:val="00CD21AB"/>
    <w:rsid w:val="00CD227E"/>
    <w:rsid w:val="00CD3A75"/>
    <w:rsid w:val="00CD4D7A"/>
    <w:rsid w:val="00CE5B2B"/>
    <w:rsid w:val="00CF2E33"/>
    <w:rsid w:val="00CF4A28"/>
    <w:rsid w:val="00CF4E7D"/>
    <w:rsid w:val="00D0096E"/>
    <w:rsid w:val="00D02055"/>
    <w:rsid w:val="00D1206A"/>
    <w:rsid w:val="00D12EB6"/>
    <w:rsid w:val="00D2177B"/>
    <w:rsid w:val="00D21D9B"/>
    <w:rsid w:val="00D248DC"/>
    <w:rsid w:val="00D3067A"/>
    <w:rsid w:val="00D36551"/>
    <w:rsid w:val="00D36DD5"/>
    <w:rsid w:val="00D476C9"/>
    <w:rsid w:val="00D5145E"/>
    <w:rsid w:val="00D52734"/>
    <w:rsid w:val="00D57187"/>
    <w:rsid w:val="00D63585"/>
    <w:rsid w:val="00D63A38"/>
    <w:rsid w:val="00D674D8"/>
    <w:rsid w:val="00D704E7"/>
    <w:rsid w:val="00D72FEF"/>
    <w:rsid w:val="00DA17C9"/>
    <w:rsid w:val="00DA3894"/>
    <w:rsid w:val="00DA45F2"/>
    <w:rsid w:val="00DA4F78"/>
    <w:rsid w:val="00DA5C72"/>
    <w:rsid w:val="00DA6DAE"/>
    <w:rsid w:val="00DA7A87"/>
    <w:rsid w:val="00DB0453"/>
    <w:rsid w:val="00DB682D"/>
    <w:rsid w:val="00DC000B"/>
    <w:rsid w:val="00DD12C0"/>
    <w:rsid w:val="00DD4A36"/>
    <w:rsid w:val="00DD5334"/>
    <w:rsid w:val="00DD58EA"/>
    <w:rsid w:val="00DE4F41"/>
    <w:rsid w:val="00DF0F8D"/>
    <w:rsid w:val="00E01399"/>
    <w:rsid w:val="00E016FF"/>
    <w:rsid w:val="00E07174"/>
    <w:rsid w:val="00E16BCF"/>
    <w:rsid w:val="00E53530"/>
    <w:rsid w:val="00E54C47"/>
    <w:rsid w:val="00E6249F"/>
    <w:rsid w:val="00E92ED5"/>
    <w:rsid w:val="00EA2FC1"/>
    <w:rsid w:val="00EA71C1"/>
    <w:rsid w:val="00EB1940"/>
    <w:rsid w:val="00EC2374"/>
    <w:rsid w:val="00EC70DC"/>
    <w:rsid w:val="00EC7971"/>
    <w:rsid w:val="00EE07A8"/>
    <w:rsid w:val="00EF08F5"/>
    <w:rsid w:val="00EF1DBD"/>
    <w:rsid w:val="00F00935"/>
    <w:rsid w:val="00F02C1A"/>
    <w:rsid w:val="00F042D6"/>
    <w:rsid w:val="00F044C9"/>
    <w:rsid w:val="00F11D79"/>
    <w:rsid w:val="00F12A89"/>
    <w:rsid w:val="00F13FF8"/>
    <w:rsid w:val="00F213E2"/>
    <w:rsid w:val="00F22126"/>
    <w:rsid w:val="00F23E43"/>
    <w:rsid w:val="00F359DF"/>
    <w:rsid w:val="00F41049"/>
    <w:rsid w:val="00F44EC9"/>
    <w:rsid w:val="00F50914"/>
    <w:rsid w:val="00F526DD"/>
    <w:rsid w:val="00F609FA"/>
    <w:rsid w:val="00F6783E"/>
    <w:rsid w:val="00F743E2"/>
    <w:rsid w:val="00F822C9"/>
    <w:rsid w:val="00F8605B"/>
    <w:rsid w:val="00F9184A"/>
    <w:rsid w:val="00F924AD"/>
    <w:rsid w:val="00F92DC6"/>
    <w:rsid w:val="00F95B51"/>
    <w:rsid w:val="00FA16CE"/>
    <w:rsid w:val="00FA64E5"/>
    <w:rsid w:val="00FB1F81"/>
    <w:rsid w:val="00FB2EBA"/>
    <w:rsid w:val="00FB3993"/>
    <w:rsid w:val="00FB4891"/>
    <w:rsid w:val="00FB641D"/>
    <w:rsid w:val="00FC2CBA"/>
    <w:rsid w:val="00FC3D88"/>
    <w:rsid w:val="00FE25E8"/>
    <w:rsid w:val="00FE484F"/>
    <w:rsid w:val="00FE63C2"/>
    <w:rsid w:val="00FF50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14:docId w14:val="4CE3DA36"/>
  <w15:chartTrackingRefBased/>
  <w15:docId w15:val="{FC8418AE-9083-4759-A10D-766E9E84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90"/>
    <w:rPr>
      <w:sz w:val="24"/>
      <w:lang w:val="en-AU" w:eastAsia="en-US"/>
    </w:rPr>
  </w:style>
  <w:style w:type="paragraph" w:styleId="Heading1">
    <w:name w:val="heading 1"/>
    <w:aliases w:val="title"/>
    <w:basedOn w:val="Normal"/>
    <w:next w:val="Normal"/>
    <w:link w:val="Heading1Char"/>
    <w:qFormat/>
    <w:rsid w:val="008541F2"/>
    <w:pPr>
      <w:keepNext/>
      <w:pageBreakBefore/>
      <w:spacing w:before="240" w:after="60"/>
      <w:outlineLvl w:val="0"/>
    </w:pPr>
    <w:rPr>
      <w:rFonts w:ascii="Arial" w:hAnsi="Arial"/>
      <w:kern w:val="32"/>
      <w:sz w:val="48"/>
      <w:lang w:val="x-none" w:eastAsia="x-none"/>
    </w:rPr>
  </w:style>
  <w:style w:type="paragraph" w:styleId="Heading2">
    <w:name w:val="heading 2"/>
    <w:basedOn w:val="Normal"/>
    <w:next w:val="Normal"/>
    <w:link w:val="Heading2Char"/>
    <w:qFormat/>
    <w:rsid w:val="008541F2"/>
    <w:pPr>
      <w:keepNext/>
      <w:spacing w:before="240" w:after="60"/>
      <w:outlineLvl w:val="1"/>
    </w:pPr>
    <w:rPr>
      <w:rFonts w:ascii="Arial" w:hAnsi="Arial"/>
      <w:sz w:val="36"/>
      <w:lang w:val="x-none" w:eastAsia="x-none"/>
    </w:rPr>
  </w:style>
  <w:style w:type="paragraph" w:styleId="Heading3">
    <w:name w:val="heading 3"/>
    <w:basedOn w:val="Normal"/>
    <w:next w:val="Normal"/>
    <w:link w:val="Heading3Char"/>
    <w:qFormat/>
    <w:rsid w:val="008541F2"/>
    <w:pPr>
      <w:keepNext/>
      <w:outlineLvl w:val="2"/>
    </w:pPr>
    <w:rPr>
      <w:rFonts w:ascii="Helvetica" w:hAnsi="Helvetica"/>
      <w:sz w:val="28"/>
      <w:lang w:val="en-GB" w:eastAsia="x-none"/>
    </w:rPr>
  </w:style>
  <w:style w:type="paragraph" w:styleId="Heading4">
    <w:name w:val="heading 4"/>
    <w:basedOn w:val="Heading3"/>
    <w:next w:val="Normal"/>
    <w:link w:val="Heading4Char"/>
    <w:qFormat/>
    <w:rsid w:val="008541F2"/>
    <w:pPr>
      <w:outlineLvl w:val="3"/>
    </w:pPr>
    <w:rPr>
      <w:rFonts w:ascii="Arial" w:hAnsi="Arial"/>
      <w:i/>
      <w:sz w:val="24"/>
      <w:lang w:val="x-none"/>
    </w:rPr>
  </w:style>
  <w:style w:type="paragraph" w:styleId="Heading5">
    <w:name w:val="heading 5"/>
    <w:basedOn w:val="Normal"/>
    <w:next w:val="Normal"/>
    <w:link w:val="Heading5Char"/>
    <w:qFormat/>
    <w:rsid w:val="002B3DEC"/>
    <w:pPr>
      <w:keepNext/>
      <w:autoSpaceDE w:val="0"/>
      <w:autoSpaceDN w:val="0"/>
      <w:ind w:left="175" w:hanging="175"/>
      <w:jc w:val="center"/>
      <w:outlineLvl w:val="4"/>
    </w:pPr>
    <w:rPr>
      <w:b/>
      <w:bCs/>
      <w:szCs w:val="24"/>
      <w:lang w:val="en-GB" w:eastAsia="x-none"/>
    </w:rPr>
  </w:style>
  <w:style w:type="paragraph" w:styleId="Heading6">
    <w:name w:val="heading 6"/>
    <w:basedOn w:val="Normal"/>
    <w:next w:val="Normal"/>
    <w:link w:val="Heading6Char"/>
    <w:qFormat/>
    <w:rsid w:val="002B3DEC"/>
    <w:pPr>
      <w:keepNext/>
      <w:autoSpaceDE w:val="0"/>
      <w:autoSpaceDN w:val="0"/>
      <w:ind w:left="-426"/>
      <w:outlineLvl w:val="5"/>
    </w:pPr>
    <w:rPr>
      <w:b/>
      <w:bCs/>
      <w:szCs w:val="24"/>
      <w:lang w:val="en-GB" w:eastAsia="x-none"/>
    </w:rPr>
  </w:style>
  <w:style w:type="paragraph" w:styleId="Heading7">
    <w:name w:val="heading 7"/>
    <w:basedOn w:val="Normal"/>
    <w:next w:val="Normal"/>
    <w:link w:val="Heading7Char"/>
    <w:qFormat/>
    <w:rsid w:val="002B3DEC"/>
    <w:pPr>
      <w:keepNext/>
      <w:autoSpaceDE w:val="0"/>
      <w:autoSpaceDN w:val="0"/>
      <w:ind w:left="-426"/>
      <w:outlineLvl w:val="6"/>
    </w:pPr>
    <w:rPr>
      <w:b/>
      <w:bCs/>
      <w:sz w:val="28"/>
      <w:szCs w:val="28"/>
      <w:lang w:val="en-GB" w:eastAsia="x-none"/>
    </w:rPr>
  </w:style>
  <w:style w:type="paragraph" w:styleId="Heading8">
    <w:name w:val="heading 8"/>
    <w:basedOn w:val="Normal"/>
    <w:next w:val="Normal"/>
    <w:link w:val="Heading8Char"/>
    <w:qFormat/>
    <w:rsid w:val="002B3DEC"/>
    <w:pPr>
      <w:keepNext/>
      <w:autoSpaceDE w:val="0"/>
      <w:autoSpaceDN w:val="0"/>
      <w:ind w:left="34"/>
      <w:outlineLvl w:val="7"/>
    </w:pPr>
    <w:rPr>
      <w:b/>
      <w:bCs/>
      <w:szCs w:val="24"/>
      <w:lang w:val="en-GB" w:eastAsia="x-none"/>
    </w:rPr>
  </w:style>
  <w:style w:type="paragraph" w:styleId="Heading9">
    <w:name w:val="heading 9"/>
    <w:basedOn w:val="Normal"/>
    <w:next w:val="Normal"/>
    <w:link w:val="Heading9Char"/>
    <w:qFormat/>
    <w:rsid w:val="002B3DEC"/>
    <w:pPr>
      <w:keepNext/>
      <w:autoSpaceDE w:val="0"/>
      <w:autoSpaceDN w:val="0"/>
      <w:ind w:left="176"/>
      <w:outlineLvl w:val="8"/>
    </w:pPr>
    <w:rPr>
      <w:i/>
      <w:iCs/>
      <w:sz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72"/>
      <w:lang w:val="x-none" w:eastAsia="x-none"/>
    </w:rPr>
  </w:style>
  <w:style w:type="paragraph" w:customStyle="1" w:styleId="Heading0">
    <w:name w:val="Heading 0"/>
    <w:basedOn w:val="Heading1"/>
    <w:next w:val="Normal"/>
    <w:rsid w:val="008541F2"/>
    <w:pPr>
      <w:pBdr>
        <w:top w:val="single" w:sz="12" w:space="1" w:color="auto"/>
      </w:pBdr>
      <w:spacing w:before="0" w:after="0"/>
    </w:pPr>
    <w:rPr>
      <w:rFonts w:ascii="Helvetica" w:hAnsi="Helvetica"/>
      <w:smallCaps/>
      <w:kern w:val="0"/>
      <w:lang w:val="en-GB"/>
    </w:rPr>
  </w:style>
  <w:style w:type="paragraph" w:styleId="Header">
    <w:name w:val="header"/>
    <w:basedOn w:val="Normal"/>
    <w:link w:val="HeaderChar"/>
    <w:rsid w:val="002B3DEC"/>
    <w:pPr>
      <w:tabs>
        <w:tab w:val="center" w:pos="4320"/>
        <w:tab w:val="right" w:pos="8640"/>
      </w:tabs>
      <w:autoSpaceDE w:val="0"/>
      <w:autoSpaceDN w:val="0"/>
      <w:spacing w:line="220" w:lineRule="atLeast"/>
      <w:jc w:val="both"/>
    </w:pPr>
    <w:rPr>
      <w:rFonts w:ascii="Times" w:hAnsi="Times"/>
      <w:sz w:val="28"/>
      <w:szCs w:val="28"/>
      <w:lang w:val="en-GB" w:eastAsia="x-none"/>
    </w:rPr>
  </w:style>
  <w:style w:type="paragraph" w:styleId="Footer">
    <w:name w:val="footer"/>
    <w:basedOn w:val="Normal"/>
    <w:link w:val="FooterChar"/>
    <w:uiPriority w:val="99"/>
    <w:rsid w:val="002B3DEC"/>
    <w:pPr>
      <w:tabs>
        <w:tab w:val="center" w:pos="4153"/>
        <w:tab w:val="right" w:pos="8306"/>
      </w:tabs>
      <w:autoSpaceDE w:val="0"/>
      <w:autoSpaceDN w:val="0"/>
    </w:pPr>
    <w:rPr>
      <w:szCs w:val="24"/>
      <w:lang w:val="en-GB" w:eastAsia="x-none"/>
    </w:rPr>
  </w:style>
  <w:style w:type="character" w:styleId="PageNumber">
    <w:name w:val="page number"/>
    <w:basedOn w:val="DefaultParagraphFont"/>
    <w:rsid w:val="002B3DEC"/>
  </w:style>
  <w:style w:type="paragraph" w:styleId="BodyTextIndent">
    <w:name w:val="Body Text Indent"/>
    <w:basedOn w:val="Normal"/>
    <w:link w:val="BodyTextIndentChar"/>
    <w:rsid w:val="002B3DEC"/>
    <w:pPr>
      <w:autoSpaceDE w:val="0"/>
      <w:autoSpaceDN w:val="0"/>
      <w:ind w:left="-426"/>
    </w:pPr>
    <w:rPr>
      <w:szCs w:val="24"/>
      <w:lang w:val="en-GB" w:eastAsia="x-none"/>
    </w:rPr>
  </w:style>
  <w:style w:type="paragraph" w:styleId="BodyTextIndent2">
    <w:name w:val="Body Text Indent 2"/>
    <w:basedOn w:val="Normal"/>
    <w:link w:val="BodyTextIndent2Char"/>
    <w:rsid w:val="002B3DEC"/>
    <w:pPr>
      <w:tabs>
        <w:tab w:val="left" w:pos="709"/>
      </w:tabs>
      <w:autoSpaceDE w:val="0"/>
      <w:autoSpaceDN w:val="0"/>
      <w:ind w:left="-426" w:hanging="720"/>
      <w:jc w:val="both"/>
    </w:pPr>
    <w:rPr>
      <w:szCs w:val="24"/>
      <w:lang w:val="en-GB" w:eastAsia="x-none"/>
    </w:rPr>
  </w:style>
  <w:style w:type="paragraph" w:styleId="BodyText">
    <w:name w:val="Body Text"/>
    <w:basedOn w:val="Normal"/>
    <w:link w:val="BodyTextChar"/>
    <w:rsid w:val="002B3DEC"/>
    <w:pPr>
      <w:autoSpaceDE w:val="0"/>
      <w:autoSpaceDN w:val="0"/>
    </w:pPr>
    <w:rPr>
      <w:sz w:val="20"/>
      <w:lang w:val="en-GB" w:eastAsia="x-none"/>
    </w:rPr>
  </w:style>
  <w:style w:type="paragraph" w:styleId="BodyText3">
    <w:name w:val="Body Text 3"/>
    <w:basedOn w:val="Normal"/>
    <w:link w:val="BodyText3Char"/>
    <w:rsid w:val="002B3DEC"/>
    <w:pPr>
      <w:autoSpaceDE w:val="0"/>
      <w:autoSpaceDN w:val="0"/>
    </w:pPr>
    <w:rPr>
      <w:sz w:val="20"/>
      <w:lang w:val="en-GB" w:eastAsia="x-none"/>
    </w:rPr>
  </w:style>
  <w:style w:type="paragraph" w:customStyle="1" w:styleId="Arial16ptboldcentred">
    <w:name w:val="Arial 16pt bold centred"/>
    <w:basedOn w:val="Normal"/>
    <w:next w:val="Heading1"/>
    <w:rsid w:val="002B3DEC"/>
    <w:pPr>
      <w:autoSpaceDE w:val="0"/>
      <w:autoSpaceDN w:val="0"/>
      <w:jc w:val="center"/>
    </w:pPr>
    <w:rPr>
      <w:rFonts w:ascii="Arial" w:hAnsi="Arial" w:cs="Arial"/>
      <w:b/>
      <w:bCs/>
      <w:sz w:val="32"/>
      <w:szCs w:val="32"/>
      <w:lang w:val="en-GB"/>
    </w:rPr>
  </w:style>
  <w:style w:type="paragraph" w:customStyle="1" w:styleId="Arial14ptboldcentred">
    <w:name w:val="Arial 14pt bold centred"/>
    <w:basedOn w:val="Normal"/>
    <w:next w:val="Header"/>
    <w:rsid w:val="002B3DEC"/>
    <w:pPr>
      <w:autoSpaceDE w:val="0"/>
      <w:autoSpaceDN w:val="0"/>
      <w:jc w:val="center"/>
    </w:pPr>
    <w:rPr>
      <w:rFonts w:ascii="Arial" w:hAnsi="Arial" w:cs="Arial"/>
      <w:b/>
      <w:bCs/>
      <w:sz w:val="28"/>
      <w:szCs w:val="28"/>
      <w:lang w:val="en-GB"/>
    </w:rPr>
  </w:style>
  <w:style w:type="character" w:customStyle="1" w:styleId="Arial16ptboldcentredChar">
    <w:name w:val="Arial 16pt bold centred Char"/>
    <w:rsid w:val="002B3DEC"/>
    <w:rPr>
      <w:rFonts w:ascii="Arial" w:hAnsi="Arial" w:cs="Arial"/>
      <w:b/>
      <w:bCs/>
      <w:sz w:val="32"/>
      <w:szCs w:val="32"/>
      <w:lang w:val="en-GB" w:eastAsia="en-US"/>
    </w:rPr>
  </w:style>
  <w:style w:type="paragraph" w:styleId="BodyText2">
    <w:name w:val="Body Text 2"/>
    <w:basedOn w:val="Normal"/>
    <w:link w:val="BodyText2Char"/>
    <w:rsid w:val="002B3DEC"/>
    <w:pPr>
      <w:autoSpaceDE w:val="0"/>
      <w:autoSpaceDN w:val="0"/>
      <w:spacing w:after="120" w:line="480" w:lineRule="auto"/>
    </w:pPr>
    <w:rPr>
      <w:szCs w:val="24"/>
      <w:lang w:val="en-GB" w:eastAsia="x-none"/>
    </w:rPr>
  </w:style>
  <w:style w:type="paragraph" w:styleId="BodyTextIndent3">
    <w:name w:val="Body Text Indent 3"/>
    <w:basedOn w:val="Normal"/>
    <w:link w:val="BodyTextIndent3Char"/>
    <w:rsid w:val="002B3DEC"/>
    <w:pPr>
      <w:autoSpaceDE w:val="0"/>
      <w:autoSpaceDN w:val="0"/>
      <w:spacing w:after="120"/>
      <w:ind w:left="283"/>
    </w:pPr>
    <w:rPr>
      <w:sz w:val="16"/>
      <w:szCs w:val="16"/>
      <w:lang w:val="en-GB" w:eastAsia="x-none"/>
    </w:rPr>
  </w:style>
  <w:style w:type="character" w:styleId="Hyperlink">
    <w:name w:val="Hyperlink"/>
    <w:uiPriority w:val="99"/>
    <w:rsid w:val="002B3DEC"/>
    <w:rPr>
      <w:color w:val="0000FF"/>
      <w:u w:val="single"/>
    </w:rPr>
  </w:style>
  <w:style w:type="paragraph" w:styleId="List">
    <w:name w:val="List"/>
    <w:basedOn w:val="Normal"/>
    <w:rsid w:val="002B3DEC"/>
    <w:pPr>
      <w:spacing w:after="120"/>
      <w:ind w:left="284" w:hanging="284"/>
      <w:jc w:val="both"/>
    </w:pPr>
    <w:rPr>
      <w:szCs w:val="24"/>
    </w:rPr>
  </w:style>
  <w:style w:type="paragraph" w:customStyle="1" w:styleId="BodyText21">
    <w:name w:val="Body Text 21"/>
    <w:basedOn w:val="Normal"/>
    <w:rsid w:val="002B3DEC"/>
    <w:pPr>
      <w:widowControl w:val="0"/>
      <w:jc w:val="both"/>
    </w:pPr>
    <w:rPr>
      <w:szCs w:val="24"/>
      <w:lang w:val="en-GB"/>
    </w:rPr>
  </w:style>
  <w:style w:type="paragraph" w:customStyle="1" w:styleId="Proposal1">
    <w:name w:val="Proposal 1"/>
    <w:rsid w:val="002B3DEC"/>
    <w:pPr>
      <w:overflowPunct w:val="0"/>
      <w:autoSpaceDE w:val="0"/>
      <w:autoSpaceDN w:val="0"/>
      <w:adjustRightInd w:val="0"/>
      <w:textAlignment w:val="baseline"/>
    </w:pPr>
    <w:rPr>
      <w:sz w:val="24"/>
      <w:lang w:val="en-AU" w:eastAsia="en-US"/>
    </w:rPr>
  </w:style>
  <w:style w:type="paragraph" w:customStyle="1" w:styleId="reference">
    <w:name w:val="reference"/>
    <w:basedOn w:val="Normal"/>
    <w:rsid w:val="002B3DEC"/>
    <w:pPr>
      <w:tabs>
        <w:tab w:val="left" w:pos="-720"/>
        <w:tab w:val="left" w:pos="0"/>
        <w:tab w:val="left" w:pos="6237"/>
      </w:tabs>
      <w:suppressAutoHyphens/>
      <w:spacing w:after="120"/>
    </w:pPr>
    <w:rPr>
      <w:spacing w:val="-3"/>
      <w:sz w:val="20"/>
      <w:lang w:val="en-NZ" w:eastAsia="en-AU"/>
    </w:rPr>
  </w:style>
  <w:style w:type="paragraph" w:customStyle="1" w:styleId="Document1">
    <w:name w:val="Document 1"/>
    <w:rsid w:val="002B3DEC"/>
    <w:pPr>
      <w:keepNext/>
      <w:keepLines/>
      <w:tabs>
        <w:tab w:val="left" w:pos="-720"/>
      </w:tabs>
      <w:suppressAutoHyphens/>
    </w:pPr>
    <w:rPr>
      <w:sz w:val="24"/>
      <w:lang w:val="en-US" w:eastAsia="en-US"/>
    </w:rPr>
  </w:style>
  <w:style w:type="paragraph" w:styleId="NormalWeb">
    <w:name w:val="Normal (Web)"/>
    <w:basedOn w:val="Normal"/>
    <w:uiPriority w:val="99"/>
    <w:rsid w:val="002B3DEC"/>
    <w:pPr>
      <w:spacing w:before="100" w:beforeAutospacing="1" w:after="100" w:afterAutospacing="1"/>
    </w:pPr>
    <w:rPr>
      <w:szCs w:val="24"/>
    </w:rPr>
  </w:style>
  <w:style w:type="paragraph" w:customStyle="1" w:styleId="paper">
    <w:name w:val="paper"/>
    <w:rsid w:val="002B3DEC"/>
    <w:pPr>
      <w:tabs>
        <w:tab w:val="left" w:pos="360"/>
      </w:tabs>
      <w:spacing w:line="480" w:lineRule="atLeast"/>
      <w:jc w:val="both"/>
    </w:pPr>
    <w:rPr>
      <w:rFonts w:ascii="Times" w:eastAsia="Osaka" w:hAnsi="Times"/>
      <w:sz w:val="24"/>
      <w:lang w:val="en-US" w:eastAsia="en-US"/>
    </w:rPr>
  </w:style>
  <w:style w:type="character" w:styleId="Strong">
    <w:name w:val="Strong"/>
    <w:uiPriority w:val="22"/>
    <w:qFormat/>
    <w:rsid w:val="002B3DEC"/>
    <w:rPr>
      <w:b/>
      <w:bCs/>
    </w:rPr>
  </w:style>
  <w:style w:type="paragraph" w:styleId="HTMLPreformatted">
    <w:name w:val="HTML Preformatted"/>
    <w:basedOn w:val="Normal"/>
    <w:link w:val="HTMLPreformattedChar"/>
    <w:rsid w:val="002B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NZ" w:eastAsia="en-NZ"/>
    </w:rPr>
  </w:style>
  <w:style w:type="character" w:customStyle="1" w:styleId="moz-txt-citetags">
    <w:name w:val="moz-txt-citetags"/>
    <w:basedOn w:val="DefaultParagraphFont"/>
    <w:rsid w:val="002B3DEC"/>
  </w:style>
  <w:style w:type="character" w:customStyle="1" w:styleId="textsmall">
    <w:name w:val="textsmall"/>
    <w:basedOn w:val="DefaultParagraphFont"/>
    <w:rsid w:val="002B3DEC"/>
  </w:style>
  <w:style w:type="character" w:customStyle="1" w:styleId="text">
    <w:name w:val="text"/>
    <w:basedOn w:val="DefaultParagraphFont"/>
    <w:rsid w:val="002B3DEC"/>
  </w:style>
  <w:style w:type="character" w:customStyle="1" w:styleId="textbold">
    <w:name w:val="textbold"/>
    <w:basedOn w:val="DefaultParagraphFont"/>
    <w:rsid w:val="002B3DEC"/>
  </w:style>
  <w:style w:type="character" w:customStyle="1" w:styleId="fulltext-publisher">
    <w:name w:val="fulltext-publisher"/>
    <w:basedOn w:val="DefaultParagraphFont"/>
    <w:rsid w:val="002B3DEC"/>
  </w:style>
  <w:style w:type="paragraph" w:customStyle="1" w:styleId="UAHR">
    <w:name w:val="UAHR"/>
    <w:basedOn w:val="Normal"/>
    <w:rsid w:val="002B3DEC"/>
    <w:rPr>
      <w:rFonts w:ascii="Arial" w:hAnsi="Arial"/>
      <w:sz w:val="20"/>
      <w:lang w:val="en-GB"/>
    </w:rPr>
  </w:style>
  <w:style w:type="paragraph" w:customStyle="1" w:styleId="Default">
    <w:name w:val="Default"/>
    <w:uiPriority w:val="99"/>
    <w:rsid w:val="002B3DEC"/>
    <w:pPr>
      <w:autoSpaceDE w:val="0"/>
      <w:autoSpaceDN w:val="0"/>
      <w:adjustRightInd w:val="0"/>
    </w:pPr>
    <w:rPr>
      <w:rFonts w:ascii="Arial" w:hAnsi="Arial" w:cs="Arial"/>
      <w:color w:val="000000"/>
      <w:sz w:val="24"/>
      <w:szCs w:val="24"/>
      <w:lang w:val="en-GB" w:eastAsia="en-GB"/>
    </w:rPr>
  </w:style>
  <w:style w:type="paragraph" w:styleId="BlockText">
    <w:name w:val="Block Text"/>
    <w:basedOn w:val="Normal"/>
    <w:rsid w:val="002B3DEC"/>
    <w:pPr>
      <w:ind w:left="709" w:right="-816" w:hanging="709"/>
      <w:jc w:val="both"/>
    </w:pPr>
    <w:rPr>
      <w:rFonts w:ascii="Times" w:hAnsi="Times"/>
      <w:lang w:val="en-US"/>
    </w:rPr>
  </w:style>
  <w:style w:type="paragraph" w:customStyle="1" w:styleId="MainTitle">
    <w:name w:val="MainTitle"/>
    <w:basedOn w:val="Heading1"/>
    <w:next w:val="Normal"/>
    <w:rsid w:val="002B3DEC"/>
    <w:pPr>
      <w:keepLines/>
      <w:pageBreakBefore w:val="0"/>
      <w:framePr w:w="9923" w:hSpace="142" w:vSpace="142" w:wrap="notBeside" w:vAnchor="text" w:hAnchor="text" w:y="1" w:anchorLock="1"/>
      <w:spacing w:after="120" w:line="340" w:lineRule="exact"/>
      <w:jc w:val="both"/>
    </w:pPr>
    <w:rPr>
      <w:rFonts w:ascii="Times New Roman" w:hAnsi="Times New Roman"/>
      <w:b/>
      <w:sz w:val="30"/>
      <w:lang w:val="en-US" w:eastAsia="de-DE"/>
    </w:rPr>
  </w:style>
  <w:style w:type="paragraph" w:customStyle="1" w:styleId="Els-graph-title">
    <w:name w:val="Els-graph-title"/>
    <w:next w:val="Normal"/>
    <w:rsid w:val="002B3DEC"/>
    <w:pPr>
      <w:keepNext/>
      <w:spacing w:after="60"/>
      <w:ind w:right="5280"/>
    </w:pPr>
    <w:rPr>
      <w:b/>
      <w:sz w:val="24"/>
      <w:lang w:val="en-US" w:eastAsia="en-GB"/>
    </w:rPr>
  </w:style>
  <w:style w:type="paragraph" w:customStyle="1" w:styleId="Tetrahedron">
    <w:name w:val="Tetrahedron"/>
    <w:basedOn w:val="Normal"/>
    <w:rsid w:val="002B3DEC"/>
    <w:pPr>
      <w:tabs>
        <w:tab w:val="left" w:pos="560"/>
        <w:tab w:val="left" w:pos="1160"/>
        <w:tab w:val="left" w:pos="1660"/>
        <w:tab w:val="left" w:pos="2260"/>
        <w:tab w:val="left" w:pos="2800"/>
        <w:tab w:val="left" w:pos="3400"/>
        <w:tab w:val="left" w:pos="3960"/>
        <w:tab w:val="left" w:pos="4500"/>
        <w:tab w:val="left" w:pos="5120"/>
        <w:tab w:val="left" w:pos="5660"/>
        <w:tab w:val="left" w:pos="6260"/>
        <w:tab w:val="left" w:pos="6820"/>
        <w:tab w:val="left" w:pos="7380"/>
        <w:tab w:val="left" w:pos="7900"/>
        <w:tab w:val="left" w:pos="8520"/>
        <w:tab w:val="left" w:pos="9060"/>
        <w:tab w:val="left" w:pos="9620"/>
        <w:tab w:val="left" w:pos="10200"/>
      </w:tabs>
      <w:spacing w:line="300" w:lineRule="atLeast"/>
      <w:jc w:val="both"/>
    </w:pPr>
    <w:rPr>
      <w:rFonts w:ascii="Times" w:hAnsi="Times"/>
      <w:lang w:val="en-US"/>
    </w:rPr>
  </w:style>
  <w:style w:type="paragraph" w:customStyle="1" w:styleId="newyorkplain24pt">
    <w:name w:val="new york + plain:24pt"/>
    <w:basedOn w:val="Normal"/>
    <w:rsid w:val="002B3DEC"/>
    <w:pPr>
      <w:spacing w:line="480" w:lineRule="atLeast"/>
    </w:pPr>
    <w:rPr>
      <w:rFonts w:ascii="Helvetica" w:hAnsi="Helvetica"/>
      <w:b/>
    </w:rPr>
  </w:style>
  <w:style w:type="character" w:customStyle="1" w:styleId="generalcontent1">
    <w:name w:val="generalcontent1"/>
    <w:uiPriority w:val="99"/>
    <w:rsid w:val="002B3DEC"/>
    <w:rPr>
      <w:rFonts w:ascii="Verdana" w:hAnsi="Verdana" w:hint="default"/>
      <w:color w:val="4F4D42"/>
      <w:sz w:val="16"/>
      <w:szCs w:val="16"/>
    </w:rPr>
  </w:style>
  <w:style w:type="paragraph" w:styleId="E-mailSignature">
    <w:name w:val="E-mail Signature"/>
    <w:basedOn w:val="Normal"/>
    <w:link w:val="E-mailSignatureChar"/>
    <w:uiPriority w:val="99"/>
    <w:rsid w:val="002B3DEC"/>
    <w:rPr>
      <w:rFonts w:eastAsia="SimSun"/>
      <w:szCs w:val="24"/>
      <w:lang w:val="en-US" w:eastAsia="zh-CN"/>
    </w:rPr>
  </w:style>
  <w:style w:type="paragraph" w:styleId="DocumentMap">
    <w:name w:val="Document Map"/>
    <w:basedOn w:val="Normal"/>
    <w:link w:val="DocumentMapChar"/>
    <w:uiPriority w:val="99"/>
    <w:semiHidden/>
    <w:unhideWhenUsed/>
    <w:rsid w:val="00E66904"/>
    <w:rPr>
      <w:rFonts w:ascii="Lucida Grande" w:hAnsi="Lucida Grande"/>
      <w:szCs w:val="24"/>
      <w:lang w:val="x-none" w:eastAsia="x-none"/>
    </w:rPr>
  </w:style>
  <w:style w:type="character" w:customStyle="1" w:styleId="DocumentMapChar">
    <w:name w:val="Document Map Char"/>
    <w:link w:val="DocumentMap"/>
    <w:uiPriority w:val="99"/>
    <w:semiHidden/>
    <w:rsid w:val="00E66904"/>
    <w:rPr>
      <w:rFonts w:ascii="Lucida Grande" w:hAnsi="Lucida Grande"/>
      <w:sz w:val="24"/>
      <w:szCs w:val="24"/>
    </w:rPr>
  </w:style>
  <w:style w:type="character" w:customStyle="1" w:styleId="Heading1Char">
    <w:name w:val="Heading 1 Char"/>
    <w:aliases w:val="title Char"/>
    <w:link w:val="Heading1"/>
    <w:rsid w:val="00331988"/>
    <w:rPr>
      <w:rFonts w:ascii="Arial" w:hAnsi="Arial"/>
      <w:kern w:val="32"/>
      <w:sz w:val="48"/>
    </w:rPr>
  </w:style>
  <w:style w:type="character" w:customStyle="1" w:styleId="Heading2Char">
    <w:name w:val="Heading 2 Char"/>
    <w:link w:val="Heading2"/>
    <w:rsid w:val="00331988"/>
    <w:rPr>
      <w:rFonts w:ascii="Arial" w:hAnsi="Arial"/>
      <w:sz w:val="36"/>
    </w:rPr>
  </w:style>
  <w:style w:type="character" w:customStyle="1" w:styleId="Heading3Char">
    <w:name w:val="Heading 3 Char"/>
    <w:link w:val="Heading3"/>
    <w:uiPriority w:val="9"/>
    <w:rsid w:val="00331988"/>
    <w:rPr>
      <w:rFonts w:ascii="Helvetica" w:hAnsi="Helvetica"/>
      <w:sz w:val="28"/>
      <w:lang w:val="en-GB"/>
    </w:rPr>
  </w:style>
  <w:style w:type="character" w:customStyle="1" w:styleId="Heading4Char">
    <w:name w:val="Heading 4 Char"/>
    <w:link w:val="Heading4"/>
    <w:rsid w:val="00331988"/>
    <w:rPr>
      <w:rFonts w:ascii="Arial" w:hAnsi="Arial"/>
      <w:i/>
      <w:sz w:val="24"/>
    </w:rPr>
  </w:style>
  <w:style w:type="character" w:customStyle="1" w:styleId="Heading5Char">
    <w:name w:val="Heading 5 Char"/>
    <w:link w:val="Heading5"/>
    <w:rsid w:val="00331988"/>
    <w:rPr>
      <w:b/>
      <w:bCs/>
      <w:sz w:val="24"/>
      <w:szCs w:val="24"/>
      <w:lang w:val="en-GB"/>
    </w:rPr>
  </w:style>
  <w:style w:type="character" w:customStyle="1" w:styleId="Heading6Char">
    <w:name w:val="Heading 6 Char"/>
    <w:link w:val="Heading6"/>
    <w:rsid w:val="00331988"/>
    <w:rPr>
      <w:b/>
      <w:bCs/>
      <w:sz w:val="24"/>
      <w:szCs w:val="24"/>
      <w:lang w:val="en-GB"/>
    </w:rPr>
  </w:style>
  <w:style w:type="character" w:customStyle="1" w:styleId="Heading7Char">
    <w:name w:val="Heading 7 Char"/>
    <w:link w:val="Heading7"/>
    <w:rsid w:val="00331988"/>
    <w:rPr>
      <w:b/>
      <w:bCs/>
      <w:sz w:val="28"/>
      <w:szCs w:val="28"/>
      <w:lang w:val="en-GB"/>
    </w:rPr>
  </w:style>
  <w:style w:type="character" w:customStyle="1" w:styleId="Heading8Char">
    <w:name w:val="Heading 8 Char"/>
    <w:link w:val="Heading8"/>
    <w:rsid w:val="00331988"/>
    <w:rPr>
      <w:b/>
      <w:bCs/>
      <w:sz w:val="24"/>
      <w:szCs w:val="24"/>
      <w:lang w:val="en-GB"/>
    </w:rPr>
  </w:style>
  <w:style w:type="character" w:customStyle="1" w:styleId="Heading9Char">
    <w:name w:val="Heading 9 Char"/>
    <w:link w:val="Heading9"/>
    <w:rsid w:val="00331988"/>
    <w:rPr>
      <w:i/>
      <w:iCs/>
      <w:lang w:val="en-GB"/>
    </w:rPr>
  </w:style>
  <w:style w:type="character" w:customStyle="1" w:styleId="TitleChar">
    <w:name w:val="Title Char"/>
    <w:link w:val="Title"/>
    <w:rsid w:val="00331988"/>
    <w:rPr>
      <w:sz w:val="72"/>
    </w:rPr>
  </w:style>
  <w:style w:type="character" w:customStyle="1" w:styleId="HeaderChar">
    <w:name w:val="Header Char"/>
    <w:link w:val="Header"/>
    <w:rsid w:val="00331988"/>
    <w:rPr>
      <w:rFonts w:ascii="Times" w:hAnsi="Times" w:cs="Times"/>
      <w:sz w:val="28"/>
      <w:szCs w:val="28"/>
      <w:lang w:val="en-GB"/>
    </w:rPr>
  </w:style>
  <w:style w:type="character" w:customStyle="1" w:styleId="FooterChar">
    <w:name w:val="Footer Char"/>
    <w:link w:val="Footer"/>
    <w:uiPriority w:val="99"/>
    <w:rsid w:val="00331988"/>
    <w:rPr>
      <w:sz w:val="24"/>
      <w:szCs w:val="24"/>
      <w:lang w:val="en-GB"/>
    </w:rPr>
  </w:style>
  <w:style w:type="character" w:customStyle="1" w:styleId="BodyTextIndentChar">
    <w:name w:val="Body Text Indent Char"/>
    <w:link w:val="BodyTextIndent"/>
    <w:rsid w:val="00331988"/>
    <w:rPr>
      <w:sz w:val="24"/>
      <w:szCs w:val="24"/>
      <w:lang w:val="en-GB"/>
    </w:rPr>
  </w:style>
  <w:style w:type="character" w:customStyle="1" w:styleId="BodyTextIndent2Char">
    <w:name w:val="Body Text Indent 2 Char"/>
    <w:link w:val="BodyTextIndent2"/>
    <w:rsid w:val="00331988"/>
    <w:rPr>
      <w:sz w:val="24"/>
      <w:szCs w:val="24"/>
      <w:lang w:val="en-GB"/>
    </w:rPr>
  </w:style>
  <w:style w:type="character" w:customStyle="1" w:styleId="BodyTextChar">
    <w:name w:val="Body Text Char"/>
    <w:link w:val="BodyText"/>
    <w:rsid w:val="00331988"/>
    <w:rPr>
      <w:lang w:val="en-GB"/>
    </w:rPr>
  </w:style>
  <w:style w:type="character" w:customStyle="1" w:styleId="BodyText3Char">
    <w:name w:val="Body Text 3 Char"/>
    <w:link w:val="BodyText3"/>
    <w:rsid w:val="00331988"/>
    <w:rPr>
      <w:lang w:val="en-GB"/>
    </w:rPr>
  </w:style>
  <w:style w:type="character" w:customStyle="1" w:styleId="BodyText2Char">
    <w:name w:val="Body Text 2 Char"/>
    <w:link w:val="BodyText2"/>
    <w:rsid w:val="00331988"/>
    <w:rPr>
      <w:sz w:val="24"/>
      <w:szCs w:val="24"/>
      <w:lang w:val="en-GB"/>
    </w:rPr>
  </w:style>
  <w:style w:type="character" w:customStyle="1" w:styleId="BodyTextIndent3Char">
    <w:name w:val="Body Text Indent 3 Char"/>
    <w:link w:val="BodyTextIndent3"/>
    <w:rsid w:val="00331988"/>
    <w:rPr>
      <w:sz w:val="16"/>
      <w:szCs w:val="16"/>
      <w:lang w:val="en-GB"/>
    </w:rPr>
  </w:style>
  <w:style w:type="character" w:customStyle="1" w:styleId="HTMLPreformattedChar">
    <w:name w:val="HTML Preformatted Char"/>
    <w:link w:val="HTMLPreformatted"/>
    <w:rsid w:val="00331988"/>
    <w:rPr>
      <w:rFonts w:ascii="Courier New" w:hAnsi="Courier New" w:cs="Courier New"/>
      <w:lang w:val="en-NZ" w:eastAsia="en-NZ"/>
    </w:rPr>
  </w:style>
  <w:style w:type="character" w:customStyle="1" w:styleId="E-mailSignatureChar">
    <w:name w:val="E-mail Signature Char"/>
    <w:link w:val="E-mailSignature"/>
    <w:uiPriority w:val="99"/>
    <w:rsid w:val="00331988"/>
    <w:rPr>
      <w:rFonts w:eastAsia="SimSun"/>
      <w:sz w:val="24"/>
      <w:szCs w:val="24"/>
      <w:lang w:val="en-US" w:eastAsia="zh-CN"/>
    </w:rPr>
  </w:style>
  <w:style w:type="character" w:styleId="FollowedHyperlink">
    <w:name w:val="FollowedHyperlink"/>
    <w:uiPriority w:val="99"/>
    <w:semiHidden/>
    <w:unhideWhenUsed/>
    <w:rsid w:val="00791175"/>
    <w:rPr>
      <w:color w:val="800080"/>
      <w:u w:val="single"/>
    </w:rPr>
  </w:style>
  <w:style w:type="character" w:styleId="CommentReference">
    <w:name w:val="annotation reference"/>
    <w:uiPriority w:val="99"/>
    <w:semiHidden/>
    <w:unhideWhenUsed/>
    <w:rsid w:val="001B3A85"/>
    <w:rPr>
      <w:sz w:val="16"/>
      <w:szCs w:val="16"/>
    </w:rPr>
  </w:style>
  <w:style w:type="paragraph" w:styleId="CommentText">
    <w:name w:val="annotation text"/>
    <w:basedOn w:val="Normal"/>
    <w:link w:val="CommentTextChar"/>
    <w:uiPriority w:val="99"/>
    <w:unhideWhenUsed/>
    <w:rsid w:val="001B3A85"/>
    <w:rPr>
      <w:sz w:val="20"/>
    </w:rPr>
  </w:style>
  <w:style w:type="character" w:customStyle="1" w:styleId="CommentTextChar">
    <w:name w:val="Comment Text Char"/>
    <w:link w:val="CommentText"/>
    <w:uiPriority w:val="99"/>
    <w:rsid w:val="001B3A85"/>
    <w:rPr>
      <w:lang w:val="en-AU" w:eastAsia="en-US"/>
    </w:rPr>
  </w:style>
  <w:style w:type="paragraph" w:styleId="CommentSubject">
    <w:name w:val="annotation subject"/>
    <w:basedOn w:val="CommentText"/>
    <w:next w:val="CommentText"/>
    <w:link w:val="CommentSubjectChar"/>
    <w:uiPriority w:val="99"/>
    <w:semiHidden/>
    <w:unhideWhenUsed/>
    <w:rsid w:val="001B3A85"/>
    <w:rPr>
      <w:b/>
      <w:bCs/>
    </w:rPr>
  </w:style>
  <w:style w:type="character" w:customStyle="1" w:styleId="CommentSubjectChar">
    <w:name w:val="Comment Subject Char"/>
    <w:link w:val="CommentSubject"/>
    <w:uiPriority w:val="99"/>
    <w:semiHidden/>
    <w:rsid w:val="001B3A85"/>
    <w:rPr>
      <w:b/>
      <w:bCs/>
      <w:lang w:val="en-AU" w:eastAsia="en-US"/>
    </w:rPr>
  </w:style>
  <w:style w:type="paragraph" w:styleId="BalloonText">
    <w:name w:val="Balloon Text"/>
    <w:basedOn w:val="Normal"/>
    <w:link w:val="BalloonTextChar"/>
    <w:uiPriority w:val="99"/>
    <w:semiHidden/>
    <w:unhideWhenUsed/>
    <w:rsid w:val="001B3A85"/>
    <w:rPr>
      <w:rFonts w:ascii="Tahoma" w:hAnsi="Tahoma"/>
      <w:sz w:val="16"/>
      <w:szCs w:val="16"/>
    </w:rPr>
  </w:style>
  <w:style w:type="character" w:customStyle="1" w:styleId="BalloonTextChar">
    <w:name w:val="Balloon Text Char"/>
    <w:link w:val="BalloonText"/>
    <w:uiPriority w:val="99"/>
    <w:semiHidden/>
    <w:rsid w:val="001B3A85"/>
    <w:rPr>
      <w:rFonts w:ascii="Tahoma" w:hAnsi="Tahoma" w:cs="Tahoma"/>
      <w:sz w:val="16"/>
      <w:szCs w:val="16"/>
      <w:lang w:val="en-AU" w:eastAsia="en-US"/>
    </w:rPr>
  </w:style>
  <w:style w:type="character" w:customStyle="1" w:styleId="rightnavblue">
    <w:name w:val="right_navblue"/>
    <w:basedOn w:val="DefaultParagraphFont"/>
    <w:rsid w:val="002F05AF"/>
  </w:style>
  <w:style w:type="character" w:customStyle="1" w:styleId="xapple-converted-space">
    <w:name w:val="x_apple-converted-space"/>
    <w:rsid w:val="00FA16CE"/>
  </w:style>
  <w:style w:type="character" w:customStyle="1" w:styleId="xxapple-converted-space">
    <w:name w:val="x_x_apple-converted-space"/>
    <w:rsid w:val="00FA16CE"/>
  </w:style>
  <w:style w:type="paragraph" w:customStyle="1" w:styleId="Arialnormal">
    <w:name w:val="Arial normal"/>
    <w:basedOn w:val="Normal"/>
    <w:link w:val="ArialnormalChar"/>
    <w:qFormat/>
    <w:rsid w:val="00FA16CE"/>
    <w:rPr>
      <w:rFonts w:ascii="Arial" w:eastAsia="Times New Roman" w:hAnsi="Arial" w:cs="Arial"/>
      <w:color w:val="000000"/>
      <w:sz w:val="22"/>
      <w:szCs w:val="22"/>
      <w:lang w:val="en-GB" w:eastAsia="en-GB"/>
    </w:rPr>
  </w:style>
  <w:style w:type="character" w:customStyle="1" w:styleId="ArialnormalChar">
    <w:name w:val="Arial normal Char"/>
    <w:link w:val="Arialnormal"/>
    <w:rsid w:val="00FA16CE"/>
    <w:rPr>
      <w:rFonts w:ascii="Arial" w:eastAsia="Times New Roman" w:hAnsi="Arial" w:cs="Arial"/>
      <w:color w:val="000000"/>
      <w:sz w:val="22"/>
      <w:szCs w:val="22"/>
      <w:lang w:val="en-GB" w:eastAsia="en-GB"/>
    </w:rPr>
  </w:style>
  <w:style w:type="paragraph" w:styleId="Revision">
    <w:name w:val="Revision"/>
    <w:hidden/>
    <w:uiPriority w:val="99"/>
    <w:semiHidden/>
    <w:rsid w:val="00565C6A"/>
    <w:rPr>
      <w:sz w:val="24"/>
      <w:lang w:val="en-AU" w:eastAsia="en-US"/>
    </w:rPr>
  </w:style>
  <w:style w:type="paragraph" w:customStyle="1" w:styleId="milestonebullet">
    <w:name w:val="milestone bullet"/>
    <w:basedOn w:val="ListParagraph"/>
    <w:link w:val="milestonebulletChar"/>
    <w:qFormat/>
    <w:rsid w:val="00676BA1"/>
    <w:pPr>
      <w:numPr>
        <w:numId w:val="1"/>
      </w:numPr>
      <w:spacing w:after="100" w:afterAutospacing="1"/>
    </w:pPr>
    <w:rPr>
      <w:rFonts w:ascii="Arial" w:eastAsia="Calibri" w:hAnsi="Arial"/>
      <w:sz w:val="22"/>
      <w:szCs w:val="24"/>
      <w:lang w:val="en-NZ" w:eastAsia="en-NZ"/>
    </w:rPr>
  </w:style>
  <w:style w:type="character" w:customStyle="1" w:styleId="milestonebulletChar">
    <w:name w:val="milestone bullet Char"/>
    <w:link w:val="milestonebullet"/>
    <w:rsid w:val="00676BA1"/>
    <w:rPr>
      <w:rFonts w:ascii="Arial" w:eastAsia="Calibri" w:hAnsi="Arial"/>
      <w:sz w:val="22"/>
      <w:szCs w:val="24"/>
    </w:rPr>
  </w:style>
  <w:style w:type="paragraph" w:customStyle="1" w:styleId="xmsolistparagraph">
    <w:name w:val="x_msolistparagraph"/>
    <w:basedOn w:val="Normal"/>
    <w:rsid w:val="00676BA1"/>
    <w:pPr>
      <w:spacing w:before="100" w:beforeAutospacing="1" w:after="100" w:afterAutospacing="1"/>
    </w:pPr>
    <w:rPr>
      <w:rFonts w:eastAsia="Calibri"/>
      <w:szCs w:val="24"/>
      <w:lang w:val="en-NZ" w:eastAsia="en-NZ"/>
    </w:rPr>
  </w:style>
  <w:style w:type="paragraph" w:styleId="ListParagraph">
    <w:name w:val="List Paragraph"/>
    <w:basedOn w:val="Normal"/>
    <w:link w:val="ListParagraphChar"/>
    <w:uiPriority w:val="34"/>
    <w:qFormat/>
    <w:rsid w:val="00676BA1"/>
    <w:pPr>
      <w:ind w:left="720"/>
    </w:pPr>
  </w:style>
  <w:style w:type="numbering" w:customStyle="1" w:styleId="NoList1">
    <w:name w:val="No List1"/>
    <w:next w:val="NoList"/>
    <w:uiPriority w:val="99"/>
    <w:semiHidden/>
    <w:unhideWhenUsed/>
    <w:rsid w:val="008B219A"/>
  </w:style>
  <w:style w:type="numbering" w:customStyle="1" w:styleId="NoList2">
    <w:name w:val="No List2"/>
    <w:next w:val="NoList"/>
    <w:uiPriority w:val="99"/>
    <w:semiHidden/>
    <w:unhideWhenUsed/>
    <w:rsid w:val="00C9069A"/>
  </w:style>
  <w:style w:type="character" w:customStyle="1" w:styleId="ListMWCChar">
    <w:name w:val="List MWC Char"/>
    <w:link w:val="ListMWC"/>
    <w:locked/>
    <w:rsid w:val="00F00935"/>
    <w:rPr>
      <w:rFonts w:ascii="Arial" w:hAnsi="Arial" w:cs="Arial"/>
      <w:lang w:val="en-AU"/>
    </w:rPr>
  </w:style>
  <w:style w:type="paragraph" w:customStyle="1" w:styleId="ListMWC">
    <w:name w:val="List MWC"/>
    <w:basedOn w:val="Normal"/>
    <w:link w:val="ListMWCChar"/>
    <w:qFormat/>
    <w:rsid w:val="00F00935"/>
    <w:pPr>
      <w:numPr>
        <w:numId w:val="2"/>
      </w:numPr>
    </w:pPr>
    <w:rPr>
      <w:rFonts w:ascii="Arial" w:hAnsi="Arial" w:cs="Arial"/>
      <w:sz w:val="20"/>
      <w:lang w:eastAsia="en-NZ"/>
    </w:rPr>
  </w:style>
  <w:style w:type="character" w:customStyle="1" w:styleId="ListParagraphChar">
    <w:name w:val="List Paragraph Char"/>
    <w:link w:val="ListParagraph"/>
    <w:uiPriority w:val="34"/>
    <w:rsid w:val="00F00935"/>
    <w:rPr>
      <w:sz w:val="24"/>
      <w:lang w:val="en-AU" w:eastAsia="en-US"/>
    </w:rPr>
  </w:style>
  <w:style w:type="character" w:customStyle="1" w:styleId="st">
    <w:name w:val="st"/>
    <w:rsid w:val="002062AB"/>
  </w:style>
  <w:style w:type="table" w:styleId="TableGrid">
    <w:name w:val="Table Grid"/>
    <w:basedOn w:val="TableNormal"/>
    <w:uiPriority w:val="59"/>
    <w:rsid w:val="0026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16068"/>
    <w:rPr>
      <w:rFonts w:ascii="Calibri" w:eastAsia="Calibri" w:hAnsi="Calibri"/>
      <w:sz w:val="22"/>
      <w:szCs w:val="21"/>
      <w:lang w:val="en-NZ"/>
    </w:rPr>
  </w:style>
  <w:style w:type="character" w:customStyle="1" w:styleId="PlainTextChar">
    <w:name w:val="Plain Text Char"/>
    <w:link w:val="PlainText"/>
    <w:uiPriority w:val="99"/>
    <w:rsid w:val="00116068"/>
    <w:rPr>
      <w:rFonts w:ascii="Calibri" w:eastAsia="Calibri" w:hAnsi="Calibri"/>
      <w:sz w:val="22"/>
      <w:szCs w:val="21"/>
      <w:lang w:eastAsia="en-US"/>
    </w:rPr>
  </w:style>
  <w:style w:type="character" w:styleId="UnresolvedMention">
    <w:name w:val="Unresolved Mention"/>
    <w:uiPriority w:val="99"/>
    <w:semiHidden/>
    <w:unhideWhenUsed/>
    <w:rsid w:val="00554EBA"/>
    <w:rPr>
      <w:color w:val="605E5C"/>
      <w:shd w:val="clear" w:color="auto" w:fill="E1DFDD"/>
    </w:rPr>
  </w:style>
  <w:style w:type="table" w:customStyle="1" w:styleId="TableGrid1">
    <w:name w:val="Table Grid1"/>
    <w:basedOn w:val="TableNormal"/>
    <w:next w:val="TableGrid"/>
    <w:uiPriority w:val="39"/>
    <w:rsid w:val="00C5498E"/>
    <w:rPr>
      <w:rFonts w:ascii="Century Gothic" w:eastAsia="Century Gothic" w:hAnsi="Century Gothic"/>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5498E"/>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924">
      <w:bodyDiv w:val="1"/>
      <w:marLeft w:val="0"/>
      <w:marRight w:val="0"/>
      <w:marTop w:val="0"/>
      <w:marBottom w:val="0"/>
      <w:divBdr>
        <w:top w:val="none" w:sz="0" w:space="0" w:color="auto"/>
        <w:left w:val="none" w:sz="0" w:space="0" w:color="auto"/>
        <w:bottom w:val="none" w:sz="0" w:space="0" w:color="auto"/>
        <w:right w:val="none" w:sz="0" w:space="0" w:color="auto"/>
      </w:divBdr>
    </w:div>
    <w:div w:id="137386213">
      <w:bodyDiv w:val="1"/>
      <w:marLeft w:val="0"/>
      <w:marRight w:val="0"/>
      <w:marTop w:val="0"/>
      <w:marBottom w:val="0"/>
      <w:divBdr>
        <w:top w:val="none" w:sz="0" w:space="0" w:color="auto"/>
        <w:left w:val="none" w:sz="0" w:space="0" w:color="auto"/>
        <w:bottom w:val="none" w:sz="0" w:space="0" w:color="auto"/>
        <w:right w:val="none" w:sz="0" w:space="0" w:color="auto"/>
      </w:divBdr>
    </w:div>
    <w:div w:id="191649759">
      <w:bodyDiv w:val="1"/>
      <w:marLeft w:val="0"/>
      <w:marRight w:val="0"/>
      <w:marTop w:val="0"/>
      <w:marBottom w:val="0"/>
      <w:divBdr>
        <w:top w:val="none" w:sz="0" w:space="0" w:color="auto"/>
        <w:left w:val="none" w:sz="0" w:space="0" w:color="auto"/>
        <w:bottom w:val="none" w:sz="0" w:space="0" w:color="auto"/>
        <w:right w:val="none" w:sz="0" w:space="0" w:color="auto"/>
      </w:divBdr>
    </w:div>
    <w:div w:id="344284764">
      <w:bodyDiv w:val="1"/>
      <w:marLeft w:val="0"/>
      <w:marRight w:val="0"/>
      <w:marTop w:val="0"/>
      <w:marBottom w:val="0"/>
      <w:divBdr>
        <w:top w:val="none" w:sz="0" w:space="0" w:color="auto"/>
        <w:left w:val="none" w:sz="0" w:space="0" w:color="auto"/>
        <w:bottom w:val="none" w:sz="0" w:space="0" w:color="auto"/>
        <w:right w:val="none" w:sz="0" w:space="0" w:color="auto"/>
      </w:divBdr>
    </w:div>
    <w:div w:id="406922491">
      <w:bodyDiv w:val="1"/>
      <w:marLeft w:val="0"/>
      <w:marRight w:val="0"/>
      <w:marTop w:val="0"/>
      <w:marBottom w:val="0"/>
      <w:divBdr>
        <w:top w:val="none" w:sz="0" w:space="0" w:color="auto"/>
        <w:left w:val="none" w:sz="0" w:space="0" w:color="auto"/>
        <w:bottom w:val="none" w:sz="0" w:space="0" w:color="auto"/>
        <w:right w:val="none" w:sz="0" w:space="0" w:color="auto"/>
      </w:divBdr>
    </w:div>
    <w:div w:id="1055275608">
      <w:bodyDiv w:val="1"/>
      <w:marLeft w:val="0"/>
      <w:marRight w:val="0"/>
      <w:marTop w:val="0"/>
      <w:marBottom w:val="0"/>
      <w:divBdr>
        <w:top w:val="none" w:sz="0" w:space="0" w:color="auto"/>
        <w:left w:val="none" w:sz="0" w:space="0" w:color="auto"/>
        <w:bottom w:val="none" w:sz="0" w:space="0" w:color="auto"/>
        <w:right w:val="none" w:sz="0" w:space="0" w:color="auto"/>
      </w:divBdr>
    </w:div>
    <w:div w:id="1074932349">
      <w:bodyDiv w:val="1"/>
      <w:marLeft w:val="0"/>
      <w:marRight w:val="0"/>
      <w:marTop w:val="0"/>
      <w:marBottom w:val="0"/>
      <w:divBdr>
        <w:top w:val="none" w:sz="0" w:space="0" w:color="auto"/>
        <w:left w:val="none" w:sz="0" w:space="0" w:color="auto"/>
        <w:bottom w:val="none" w:sz="0" w:space="0" w:color="auto"/>
        <w:right w:val="none" w:sz="0" w:space="0" w:color="auto"/>
      </w:divBdr>
    </w:div>
    <w:div w:id="1107890008">
      <w:bodyDiv w:val="1"/>
      <w:marLeft w:val="0"/>
      <w:marRight w:val="0"/>
      <w:marTop w:val="0"/>
      <w:marBottom w:val="0"/>
      <w:divBdr>
        <w:top w:val="none" w:sz="0" w:space="0" w:color="auto"/>
        <w:left w:val="none" w:sz="0" w:space="0" w:color="auto"/>
        <w:bottom w:val="none" w:sz="0" w:space="0" w:color="auto"/>
        <w:right w:val="none" w:sz="0" w:space="0" w:color="auto"/>
      </w:divBdr>
    </w:div>
    <w:div w:id="1277786951">
      <w:bodyDiv w:val="1"/>
      <w:marLeft w:val="0"/>
      <w:marRight w:val="0"/>
      <w:marTop w:val="0"/>
      <w:marBottom w:val="0"/>
      <w:divBdr>
        <w:top w:val="none" w:sz="0" w:space="0" w:color="auto"/>
        <w:left w:val="none" w:sz="0" w:space="0" w:color="auto"/>
        <w:bottom w:val="none" w:sz="0" w:space="0" w:color="auto"/>
        <w:right w:val="none" w:sz="0" w:space="0" w:color="auto"/>
      </w:divBdr>
    </w:div>
    <w:div w:id="1437023568">
      <w:bodyDiv w:val="1"/>
      <w:marLeft w:val="0"/>
      <w:marRight w:val="0"/>
      <w:marTop w:val="0"/>
      <w:marBottom w:val="0"/>
      <w:divBdr>
        <w:top w:val="none" w:sz="0" w:space="0" w:color="auto"/>
        <w:left w:val="none" w:sz="0" w:space="0" w:color="auto"/>
        <w:bottom w:val="none" w:sz="0" w:space="0" w:color="auto"/>
        <w:right w:val="none" w:sz="0" w:space="0" w:color="auto"/>
      </w:divBdr>
    </w:div>
    <w:div w:id="1517230370">
      <w:bodyDiv w:val="1"/>
      <w:marLeft w:val="0"/>
      <w:marRight w:val="0"/>
      <w:marTop w:val="0"/>
      <w:marBottom w:val="0"/>
      <w:divBdr>
        <w:top w:val="none" w:sz="0" w:space="0" w:color="auto"/>
        <w:left w:val="none" w:sz="0" w:space="0" w:color="auto"/>
        <w:bottom w:val="none" w:sz="0" w:space="0" w:color="auto"/>
        <w:right w:val="none" w:sz="0" w:space="0" w:color="auto"/>
      </w:divBdr>
    </w:div>
    <w:div w:id="1643384783">
      <w:bodyDiv w:val="1"/>
      <w:marLeft w:val="0"/>
      <w:marRight w:val="0"/>
      <w:marTop w:val="0"/>
      <w:marBottom w:val="0"/>
      <w:divBdr>
        <w:top w:val="none" w:sz="0" w:space="0" w:color="auto"/>
        <w:left w:val="none" w:sz="0" w:space="0" w:color="auto"/>
        <w:bottom w:val="none" w:sz="0" w:space="0" w:color="auto"/>
        <w:right w:val="none" w:sz="0" w:space="0" w:color="auto"/>
      </w:divBdr>
    </w:div>
    <w:div w:id="1668744574">
      <w:bodyDiv w:val="1"/>
      <w:marLeft w:val="0"/>
      <w:marRight w:val="0"/>
      <w:marTop w:val="0"/>
      <w:marBottom w:val="0"/>
      <w:divBdr>
        <w:top w:val="none" w:sz="0" w:space="0" w:color="auto"/>
        <w:left w:val="none" w:sz="0" w:space="0" w:color="auto"/>
        <w:bottom w:val="none" w:sz="0" w:space="0" w:color="auto"/>
        <w:right w:val="none" w:sz="0" w:space="0" w:color="auto"/>
      </w:divBdr>
    </w:div>
    <w:div w:id="1717391810">
      <w:bodyDiv w:val="1"/>
      <w:marLeft w:val="0"/>
      <w:marRight w:val="0"/>
      <w:marTop w:val="0"/>
      <w:marBottom w:val="0"/>
      <w:divBdr>
        <w:top w:val="none" w:sz="0" w:space="0" w:color="auto"/>
        <w:left w:val="none" w:sz="0" w:space="0" w:color="auto"/>
        <w:bottom w:val="none" w:sz="0" w:space="0" w:color="auto"/>
        <w:right w:val="none" w:sz="0" w:space="0" w:color="auto"/>
      </w:divBdr>
    </w:div>
    <w:div w:id="2096436739">
      <w:bodyDiv w:val="1"/>
      <w:marLeft w:val="0"/>
      <w:marRight w:val="0"/>
      <w:marTop w:val="0"/>
      <w:marBottom w:val="0"/>
      <w:divBdr>
        <w:top w:val="none" w:sz="0" w:space="0" w:color="auto"/>
        <w:left w:val="none" w:sz="0" w:space="0" w:color="auto"/>
        <w:bottom w:val="none" w:sz="0" w:space="0" w:color="auto"/>
        <w:right w:val="none" w:sz="0" w:space="0" w:color="auto"/>
      </w:divBdr>
    </w:div>
    <w:div w:id="21076510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uricewilkinscentre.org/welcome/mwc-research-themes/" TargetMode="External"/><Relationship Id="rId18" Type="http://schemas.openxmlformats.org/officeDocument/2006/relationships/hyperlink" Target="mailto:Maurice-wilkins-centre@auckland.ac.n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uricewilkinscentre.org/welcome/mwc-m%C4%81ori-engagement-strategy/" TargetMode="External"/><Relationship Id="rId17" Type="http://schemas.openxmlformats.org/officeDocument/2006/relationships/hyperlink" Target="https://www.mauricewilkinscentre.org/welcome/list-of-equipment-facilities-and-services/" TargetMode="External"/><Relationship Id="rId2" Type="http://schemas.openxmlformats.org/officeDocument/2006/relationships/customXml" Target="../customXml/item2.xml"/><Relationship Id="rId16" Type="http://schemas.openxmlformats.org/officeDocument/2006/relationships/hyperlink" Target="mailto:maurice-wilkins-centre@auckland.ac.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urice-wilkins-centre@auckland.ac.nz" TargetMode="External"/><Relationship Id="rId5" Type="http://schemas.openxmlformats.org/officeDocument/2006/relationships/numbering" Target="numbering.xml"/><Relationship Id="rId15" Type="http://schemas.openxmlformats.org/officeDocument/2006/relationships/hyperlink" Target="https://www.mauricewilkinscentre.org/welcome/resources-for-investigator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urice-wilkins-centre@auckland.ac.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ea26a1dedf1d1e93ec12bf303f679a78">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cfda965447385ef5dc5d4a88934dad54"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6116-6117-422E-90F9-8C628E2C5CC5}">
  <ds:schemaRefs>
    <ds:schemaRef ds:uri="http://purl.org/dc/elements/1.1/"/>
    <ds:schemaRef ds:uri="http://schemas.microsoft.com/office/2006/metadata/properties"/>
    <ds:schemaRef ds:uri="http://purl.org/dc/terms/"/>
    <ds:schemaRef ds:uri="http://schemas.openxmlformats.org/package/2006/metadata/core-properties"/>
    <ds:schemaRef ds:uri="61bbba5b-7877-4b4e-8415-6d50e2f54085"/>
    <ds:schemaRef ds:uri="http://schemas.microsoft.com/office/2006/documentManagement/types"/>
    <ds:schemaRef ds:uri="http://schemas.microsoft.com/office/infopath/2007/PartnerControls"/>
    <ds:schemaRef ds:uri="http://www.w3.org/XML/1998/namespace"/>
    <ds:schemaRef ds:uri="http://purl.org/dc/dcmitype/"/>
    <ds:schemaRef ds:uri="d800a5cf-5799-495b-9b49-f15f7ad25ed9"/>
  </ds:schemaRefs>
</ds:datastoreItem>
</file>

<file path=customXml/itemProps2.xml><?xml version="1.0" encoding="utf-8"?>
<ds:datastoreItem xmlns:ds="http://schemas.openxmlformats.org/officeDocument/2006/customXml" ds:itemID="{5717524D-0EE1-43F7-8F8C-AC904D79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5AE09-7561-4BA8-8B40-5F5DADDCC99D}">
  <ds:schemaRefs>
    <ds:schemaRef ds:uri="http://schemas.microsoft.com/sharepoint/v3/contenttype/forms"/>
  </ds:schemaRefs>
</ds:datastoreItem>
</file>

<file path=customXml/itemProps4.xml><?xml version="1.0" encoding="utf-8"?>
<ds:datastoreItem xmlns:ds="http://schemas.openxmlformats.org/officeDocument/2006/customXml" ds:itemID="{3751C408-C0CB-4613-B4E3-44C733DDF7EC}">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247</TotalTime>
  <Pages>26</Pages>
  <Words>8626</Words>
  <Characters>50266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$370k budget</vt:lpstr>
    </vt:vector>
  </TitlesOfParts>
  <Company>University of Auckland</Company>
  <LinksUpToDate>false</LinksUpToDate>
  <CharactersWithSpaces>58775</CharactersWithSpaces>
  <SharedDoc>false</SharedDoc>
  <HLinks>
    <vt:vector size="18" baseType="variant">
      <vt:variant>
        <vt:i4>7929915</vt:i4>
      </vt:variant>
      <vt:variant>
        <vt:i4>6</vt:i4>
      </vt:variant>
      <vt:variant>
        <vt:i4>0</vt:i4>
      </vt:variant>
      <vt:variant>
        <vt:i4>5</vt:i4>
      </vt:variant>
      <vt:variant>
        <vt:lpwstr>https://tinyurl.com/tqwautz</vt:lpwstr>
      </vt:variant>
      <vt:variant>
        <vt:lpwstr/>
      </vt:variant>
      <vt:variant>
        <vt:i4>6684673</vt:i4>
      </vt:variant>
      <vt:variant>
        <vt:i4>3</vt:i4>
      </vt:variant>
      <vt:variant>
        <vt:i4>0</vt:i4>
      </vt:variant>
      <vt:variant>
        <vt:i4>5</vt:i4>
      </vt:variant>
      <vt:variant>
        <vt:lpwstr>mailto:maurice-wilkins-centre@auckland.ac.nz</vt:lpwstr>
      </vt:variant>
      <vt:variant>
        <vt:lpwstr/>
      </vt:variant>
      <vt:variant>
        <vt:i4>6684673</vt:i4>
      </vt:variant>
      <vt:variant>
        <vt:i4>0</vt:i4>
      </vt:variant>
      <vt:variant>
        <vt:i4>0</vt:i4>
      </vt:variant>
      <vt:variant>
        <vt:i4>5</vt:i4>
      </vt:variant>
      <vt:variant>
        <vt:lpwstr>mailto:maurice-wilkins-centre@auckland.ac.nz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$370k budget</dc:title>
  <dc:subject/>
  <dc:creator>SBS</dc:creator>
  <cp:keywords/>
  <cp:lastModifiedBy>Rochelle Ramsay</cp:lastModifiedBy>
  <cp:revision>18</cp:revision>
  <cp:lastPrinted>2014-10-13T23:51:00Z</cp:lastPrinted>
  <dcterms:created xsi:type="dcterms:W3CDTF">2025-06-23T04:34:00Z</dcterms:created>
  <dcterms:modified xsi:type="dcterms:W3CDTF">2025-09-19T00:25:00Z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ies>
</file>