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900E4" w14:textId="51A631D9" w:rsidR="00EA29C5" w:rsidRPr="008D58D7" w:rsidRDefault="00EA29C5" w:rsidP="00EA29C5">
      <w:pPr>
        <w:rPr>
          <w:rFonts w:ascii="Arial" w:hAnsi="Arial" w:cs="Arial"/>
          <w:b/>
          <w:bCs/>
          <w:sz w:val="28"/>
          <w:szCs w:val="28"/>
        </w:rPr>
      </w:pPr>
      <w:r w:rsidRPr="008D58D7">
        <w:rPr>
          <w:rFonts w:ascii="Arial" w:hAnsi="Arial" w:cs="Arial"/>
          <w:b/>
          <w:bCs/>
          <w:sz w:val="28"/>
          <w:szCs w:val="28"/>
        </w:rPr>
        <w:t>Appendix 1</w:t>
      </w:r>
    </w:p>
    <w:p w14:paraId="1A83FC21" w14:textId="77777777" w:rsidR="00EA29C5" w:rsidRPr="00312690" w:rsidRDefault="00EA29C5" w:rsidP="00EA29C5">
      <w:pPr>
        <w:spacing w:before="120"/>
      </w:pPr>
    </w:p>
    <w:tbl>
      <w:tblPr>
        <w:tblW w:w="10078" w:type="dxa"/>
        <w:jc w:val="center"/>
        <w:tblBorders>
          <w:top w:val="single" w:sz="4" w:space="0" w:color="000000"/>
          <w:left w:val="single" w:sz="4" w:space="0" w:color="000000"/>
          <w:bottom w:val="single" w:sz="4" w:space="0" w:color="000000"/>
          <w:right w:val="single" w:sz="4" w:space="0" w:color="000000"/>
          <w:insideV w:val="single" w:sz="4" w:space="0" w:color="000000"/>
        </w:tblBorders>
        <w:tblLayout w:type="fixed"/>
        <w:tblLook w:val="0400" w:firstRow="0" w:lastRow="0" w:firstColumn="0" w:lastColumn="0" w:noHBand="0" w:noVBand="1"/>
      </w:tblPr>
      <w:tblGrid>
        <w:gridCol w:w="10078"/>
      </w:tblGrid>
      <w:tr w:rsidR="00EA29C5" w14:paraId="56284E99" w14:textId="77777777" w:rsidTr="00B564A3">
        <w:trPr>
          <w:trHeight w:val="613"/>
          <w:jc w:val="center"/>
        </w:trPr>
        <w:tc>
          <w:tcPr>
            <w:tcW w:w="10078" w:type="dxa"/>
            <w:tcBorders>
              <w:bottom w:val="nil"/>
            </w:tcBorders>
          </w:tcPr>
          <w:p w14:paraId="546C3489" w14:textId="77777777" w:rsidR="00EA29C5" w:rsidRDefault="00EA29C5" w:rsidP="00B564A3">
            <w:pPr>
              <w:pStyle w:val="Heading2"/>
              <w:jc w:val="center"/>
            </w:pPr>
            <w:bookmarkStart w:id="0" w:name="_Toc72252026"/>
            <w:r>
              <w:rPr>
                <w:lang w:val="en-NZ"/>
              </w:rPr>
              <w:t xml:space="preserve">Maurice Wilkins Centre 2021-2028 </w:t>
            </w:r>
            <w:r w:rsidRPr="000109B4">
              <w:t>Executive summary</w:t>
            </w:r>
            <w:r>
              <w:t xml:space="preserve"> </w:t>
            </w:r>
            <w:bookmarkEnd w:id="0"/>
          </w:p>
        </w:tc>
      </w:tr>
      <w:tr w:rsidR="00EA29C5" w14:paraId="0FBA5334" w14:textId="77777777" w:rsidTr="00B564A3">
        <w:trPr>
          <w:trHeight w:val="613"/>
          <w:jc w:val="center"/>
        </w:trPr>
        <w:tc>
          <w:tcPr>
            <w:tcW w:w="10078" w:type="dxa"/>
            <w:tcBorders>
              <w:top w:val="nil"/>
              <w:bottom w:val="single" w:sz="4" w:space="0" w:color="000000"/>
            </w:tcBorders>
          </w:tcPr>
          <w:p w14:paraId="635C33D3" w14:textId="77777777" w:rsidR="00EA29C5" w:rsidRPr="005D0102" w:rsidRDefault="00EA29C5" w:rsidP="00B564A3">
            <w:pPr>
              <w:tabs>
                <w:tab w:val="left" w:pos="1276"/>
                <w:tab w:val="left" w:pos="7088"/>
                <w:tab w:val="right" w:pos="9370"/>
              </w:tabs>
              <w:spacing w:before="240" w:after="240"/>
              <w:rPr>
                <w:rFonts w:ascii="Arial" w:hAnsi="Arial" w:cs="Arial"/>
              </w:rPr>
            </w:pPr>
            <w:r w:rsidRPr="005D0102">
              <w:rPr>
                <w:rFonts w:ascii="Arial" w:hAnsi="Arial" w:cs="Arial"/>
              </w:rPr>
              <w:t xml:space="preserve">The Maurice Wilkins Centre (MWC) is a vibrant </w:t>
            </w:r>
            <w:proofErr w:type="spellStart"/>
            <w:r w:rsidRPr="005D0102">
              <w:rPr>
                <w:rFonts w:ascii="Arial" w:hAnsi="Arial" w:cs="Arial"/>
              </w:rPr>
              <w:t>organisation</w:t>
            </w:r>
            <w:proofErr w:type="spellEnd"/>
            <w:r w:rsidRPr="005D0102">
              <w:rPr>
                <w:rFonts w:ascii="Arial" w:hAnsi="Arial" w:cs="Arial"/>
              </w:rPr>
              <w:t xml:space="preserve"> that brings together the best research talent across New Zealand to focus on understanding and managing the major diseases affecting New Zealanders today. Centre of Research Excellence (</w:t>
            </w:r>
            <w:proofErr w:type="spellStart"/>
            <w:r w:rsidRPr="005D0102">
              <w:rPr>
                <w:rFonts w:ascii="Arial" w:hAnsi="Arial" w:cs="Arial"/>
              </w:rPr>
              <w:t>CoRE</w:t>
            </w:r>
            <w:proofErr w:type="spellEnd"/>
            <w:r w:rsidRPr="005D0102">
              <w:rPr>
                <w:rFonts w:ascii="Arial" w:hAnsi="Arial" w:cs="Arial"/>
              </w:rPr>
              <w:t xml:space="preserve">) funding has enabled the Centre to grow into a dynamic, highly productive, large-scale collaborative network of researchers across New Zealand, since its establishment in 2002.  A major achievement of the MWC is that it has broken down traditional barriers between institutions and disciplines and developed high-functioning, collaborative teams across different institutions. These teams encompass a wide range of capabilities in biomedicine, chemistry, and clinical research, and are further boosted by collaborative links to major research institutions globally.  This is an interactive model unique to New Zealand and one that creates excellent synergies that </w:t>
            </w:r>
            <w:proofErr w:type="spellStart"/>
            <w:r w:rsidRPr="005D0102">
              <w:rPr>
                <w:rFonts w:ascii="Arial" w:hAnsi="Arial" w:cs="Arial"/>
              </w:rPr>
              <w:t>maximise</w:t>
            </w:r>
            <w:proofErr w:type="spellEnd"/>
            <w:r w:rsidRPr="005D0102">
              <w:rPr>
                <w:rFonts w:ascii="Arial" w:hAnsi="Arial" w:cs="Arial"/>
              </w:rPr>
              <w:t xml:space="preserve"> the productivity of the country’s researchers. This includes building upon our established relationships with Māori </w:t>
            </w:r>
            <w:proofErr w:type="spellStart"/>
            <w:r w:rsidRPr="005D0102">
              <w:rPr>
                <w:rFonts w:ascii="Arial" w:hAnsi="Arial" w:cs="Arial"/>
              </w:rPr>
              <w:t>organisations</w:t>
            </w:r>
            <w:proofErr w:type="spellEnd"/>
            <w:r w:rsidRPr="005D0102">
              <w:rPr>
                <w:rFonts w:ascii="Arial" w:hAnsi="Arial" w:cs="Arial"/>
              </w:rPr>
              <w:t xml:space="preserve">, and the subsequent development of a formal Māori engagement strategy in consultation with those groups.  During 2025-2028, we anticipate further activities expanding our development of Māori researchers and outreach to </w:t>
            </w:r>
            <w:proofErr w:type="gramStart"/>
            <w:r w:rsidRPr="005D0102">
              <w:rPr>
                <w:rFonts w:ascii="Arial" w:hAnsi="Arial" w:cs="Arial"/>
              </w:rPr>
              <w:t>communities, and</w:t>
            </w:r>
            <w:proofErr w:type="gramEnd"/>
            <w:r w:rsidRPr="005D0102">
              <w:rPr>
                <w:rFonts w:ascii="Arial" w:hAnsi="Arial" w:cs="Arial"/>
              </w:rPr>
              <w:t xml:space="preserve"> providing greater opportunities for Māori leadership in our research.</w:t>
            </w:r>
          </w:p>
          <w:p w14:paraId="633D033C" w14:textId="77777777" w:rsidR="00EA29C5" w:rsidRPr="005D0102" w:rsidRDefault="00EA29C5" w:rsidP="00B564A3">
            <w:pPr>
              <w:tabs>
                <w:tab w:val="left" w:pos="1276"/>
                <w:tab w:val="left" w:pos="7088"/>
                <w:tab w:val="right" w:pos="9370"/>
              </w:tabs>
              <w:spacing w:before="240" w:after="240"/>
              <w:rPr>
                <w:rFonts w:ascii="Arial" w:hAnsi="Arial" w:cs="Arial"/>
              </w:rPr>
            </w:pPr>
            <w:r w:rsidRPr="005D0102">
              <w:rPr>
                <w:rFonts w:ascii="Arial" w:hAnsi="Arial" w:cs="Arial"/>
              </w:rPr>
              <w:t xml:space="preserve">The MWC effectively performs ambitious research that spans from basic discovery through to translational outcomes. The Centre has developed a balance of </w:t>
            </w:r>
            <w:proofErr w:type="gramStart"/>
            <w:r w:rsidRPr="005D0102">
              <w:rPr>
                <w:rFonts w:ascii="Arial" w:hAnsi="Arial" w:cs="Arial"/>
              </w:rPr>
              <w:t>internationally-competitive</w:t>
            </w:r>
            <w:proofErr w:type="gramEnd"/>
            <w:r w:rsidRPr="005D0102">
              <w:rPr>
                <w:rFonts w:ascii="Arial" w:hAnsi="Arial" w:cs="Arial"/>
              </w:rPr>
              <w:t xml:space="preserve"> research </w:t>
            </w:r>
            <w:proofErr w:type="spellStart"/>
            <w:r w:rsidRPr="005D0102">
              <w:rPr>
                <w:rFonts w:ascii="Arial" w:hAnsi="Arial" w:cs="Arial"/>
              </w:rPr>
              <w:t>programmes</w:t>
            </w:r>
            <w:proofErr w:type="spellEnd"/>
            <w:r w:rsidRPr="005D0102">
              <w:rPr>
                <w:rFonts w:ascii="Arial" w:hAnsi="Arial" w:cs="Arial"/>
              </w:rPr>
              <w:t xml:space="preserve"> combined with a series of innovative, cutting edge, pilot projects to foster new research directions. A key feature of these research </w:t>
            </w:r>
            <w:proofErr w:type="spellStart"/>
            <w:r w:rsidRPr="005D0102">
              <w:rPr>
                <w:rFonts w:ascii="Arial" w:hAnsi="Arial" w:cs="Arial"/>
              </w:rPr>
              <w:t>programmes</w:t>
            </w:r>
            <w:proofErr w:type="spellEnd"/>
            <w:r w:rsidRPr="005D0102">
              <w:rPr>
                <w:rFonts w:ascii="Arial" w:hAnsi="Arial" w:cs="Arial"/>
              </w:rPr>
              <w:t xml:space="preserve"> is to engage a collaborative, interdisciplinary network of researchers, aiming for larger scale </w:t>
            </w:r>
            <w:proofErr w:type="spellStart"/>
            <w:r w:rsidRPr="005D0102">
              <w:rPr>
                <w:rFonts w:ascii="Arial" w:hAnsi="Arial" w:cs="Arial"/>
              </w:rPr>
              <w:t>programmes</w:t>
            </w:r>
            <w:proofErr w:type="spellEnd"/>
            <w:r w:rsidRPr="005D0102">
              <w:rPr>
                <w:rFonts w:ascii="Arial" w:hAnsi="Arial" w:cs="Arial"/>
              </w:rPr>
              <w:t xml:space="preserve"> than would be possible in individual laboratory groups. MWC also leads the development of important new resources and data sets that will be of ongoing use to researchers and patients.</w:t>
            </w:r>
          </w:p>
          <w:p w14:paraId="36B20FFB" w14:textId="77777777" w:rsidR="00EA29C5" w:rsidRPr="005D0102" w:rsidRDefault="00EA29C5" w:rsidP="00B564A3">
            <w:pPr>
              <w:tabs>
                <w:tab w:val="left" w:pos="1276"/>
                <w:tab w:val="left" w:pos="7088"/>
                <w:tab w:val="right" w:pos="9370"/>
              </w:tabs>
              <w:spacing w:before="240" w:after="240"/>
              <w:rPr>
                <w:rFonts w:ascii="Arial" w:hAnsi="Arial" w:cs="Arial"/>
              </w:rPr>
            </w:pPr>
            <w:r w:rsidRPr="005D0102">
              <w:rPr>
                <w:rFonts w:ascii="Arial" w:hAnsi="Arial" w:cs="Arial"/>
              </w:rPr>
              <w:t>The Centre’s goals are to (</w:t>
            </w:r>
            <w:proofErr w:type="spellStart"/>
            <w:r w:rsidRPr="005D0102">
              <w:rPr>
                <w:rFonts w:ascii="Arial" w:hAnsi="Arial" w:cs="Arial"/>
              </w:rPr>
              <w:t>i</w:t>
            </w:r>
            <w:proofErr w:type="spellEnd"/>
            <w:r w:rsidRPr="005D0102">
              <w:rPr>
                <w:rFonts w:ascii="Arial" w:hAnsi="Arial" w:cs="Arial"/>
              </w:rPr>
              <w:t xml:space="preserve">) build on the current network of researchers to use multi-disciplinary approaches and teams to expedite the development of new knowledge about mechanisms driving a range of diseases of importance to this country and, (ii) empower its extensive collective expertise in the development of therapeutic advances by linking with its rapidly developing networks of clinical researchers to translate these into new patient-centric approaches to prevent, diagnose or treat the target diseases and, (iii) using these approaches to advance fundamental knowledge to inform tomorrow’s precision medicine, particularly making sure Māori and Pacific Peoples are not left out of the precision medicine revolution.  </w:t>
            </w:r>
          </w:p>
          <w:p w14:paraId="681BDB56" w14:textId="77777777" w:rsidR="00EA29C5" w:rsidRPr="007B7AC5" w:rsidRDefault="00EA29C5" w:rsidP="00B564A3">
            <w:pPr>
              <w:tabs>
                <w:tab w:val="left" w:pos="1276"/>
                <w:tab w:val="left" w:pos="7088"/>
                <w:tab w:val="right" w:pos="9370"/>
              </w:tabs>
              <w:spacing w:before="240" w:after="240"/>
              <w:rPr>
                <w:rFonts w:ascii="Arial" w:hAnsi="Arial" w:cs="Arial"/>
              </w:rPr>
            </w:pPr>
            <w:r w:rsidRPr="005D0102">
              <w:rPr>
                <w:rFonts w:ascii="Arial" w:hAnsi="Arial" w:cs="Arial"/>
              </w:rPr>
              <w:t xml:space="preserve">The MWC is an instigator of new research directions and aims to </w:t>
            </w:r>
            <w:proofErr w:type="spellStart"/>
            <w:r w:rsidRPr="005D0102">
              <w:rPr>
                <w:rFonts w:ascii="Arial" w:hAnsi="Arial" w:cs="Arial"/>
              </w:rPr>
              <w:t>maximise</w:t>
            </w:r>
            <w:proofErr w:type="spellEnd"/>
            <w:r w:rsidRPr="005D0102">
              <w:rPr>
                <w:rFonts w:ascii="Arial" w:hAnsi="Arial" w:cs="Arial"/>
              </w:rPr>
              <w:t xml:space="preserve"> the effectiveness of its collaborative research teams and to potentiate the outputs of its research by </w:t>
            </w:r>
            <w:proofErr w:type="spellStart"/>
            <w:r w:rsidRPr="005D0102">
              <w:rPr>
                <w:rFonts w:ascii="Arial" w:hAnsi="Arial" w:cs="Arial"/>
              </w:rPr>
              <w:t>synergising</w:t>
            </w:r>
            <w:proofErr w:type="spellEnd"/>
            <w:r w:rsidRPr="005D0102">
              <w:rPr>
                <w:rFonts w:ascii="Arial" w:hAnsi="Arial" w:cs="Arial"/>
              </w:rPr>
              <w:t xml:space="preserve"> with and leveraging other funding mechanisms. The MWC will also use its position as a national research network to support and develop the future research workforce from school outreach through postgraduate studentships and supporting the career development of early career researchers (ECRs).  Specifically, the MWC is conducting activities that will enable diversity in this future workforce in terms of gender balance and in terms of Māori and Pacific engagement in biomedical research. Going forward the MWC will focus on further boosting its ability to have impact on the health of New Zealanders by greatly expanding and strengthening the interactions of its researchers with clinicians and with communities, particularly Māori and Pacific communities.</w:t>
            </w:r>
          </w:p>
        </w:tc>
      </w:tr>
    </w:tbl>
    <w:p w14:paraId="7A16A703" w14:textId="77777777" w:rsidR="00EA29C5" w:rsidRDefault="00EA29C5" w:rsidP="00EA29C5">
      <w:pPr>
        <w:spacing w:before="120"/>
      </w:pPr>
    </w:p>
    <w:p w14:paraId="521215F9" w14:textId="77777777" w:rsidR="00EA29C5" w:rsidRDefault="00EA29C5" w:rsidP="00EA29C5">
      <w:r>
        <w:br w:type="page"/>
      </w:r>
    </w:p>
    <w:p w14:paraId="1AE1E347" w14:textId="77777777" w:rsidR="00EA29C5" w:rsidRDefault="00EA29C5" w:rsidP="00EA29C5">
      <w:pPr>
        <w:spacing w:before="120"/>
      </w:pPr>
    </w:p>
    <w:tbl>
      <w:tblPr>
        <w:tblW w:w="10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8"/>
      </w:tblGrid>
      <w:tr w:rsidR="00EA29C5" w14:paraId="25ECA48F" w14:textId="77777777" w:rsidTr="00B564A3">
        <w:trPr>
          <w:trHeight w:val="613"/>
          <w:jc w:val="center"/>
        </w:trPr>
        <w:tc>
          <w:tcPr>
            <w:tcW w:w="10078" w:type="dxa"/>
            <w:tcBorders>
              <w:top w:val="single" w:sz="4" w:space="0" w:color="000000"/>
              <w:left w:val="single" w:sz="4" w:space="0" w:color="000000"/>
              <w:bottom w:val="nil"/>
              <w:right w:val="single" w:sz="4" w:space="0" w:color="000000"/>
            </w:tcBorders>
          </w:tcPr>
          <w:p w14:paraId="66D8CAE5" w14:textId="77777777" w:rsidR="00EA29C5" w:rsidRDefault="00EA29C5" w:rsidP="00B564A3">
            <w:pPr>
              <w:pStyle w:val="Heading2"/>
              <w:rPr>
                <w:b/>
              </w:rPr>
            </w:pPr>
            <w:bookmarkStart w:id="1" w:name="_Toc72252028"/>
            <w:r>
              <w:t xml:space="preserve">Strategic impacts </w:t>
            </w:r>
            <w:bookmarkEnd w:id="1"/>
          </w:p>
        </w:tc>
      </w:tr>
      <w:tr w:rsidR="00EA29C5" w14:paraId="066BC05C" w14:textId="77777777" w:rsidTr="00B564A3">
        <w:trPr>
          <w:trHeight w:val="613"/>
          <w:jc w:val="center"/>
        </w:trPr>
        <w:tc>
          <w:tcPr>
            <w:tcW w:w="10078" w:type="dxa"/>
            <w:tcBorders>
              <w:top w:val="nil"/>
              <w:left w:val="single" w:sz="4" w:space="0" w:color="000000"/>
              <w:bottom w:val="single" w:sz="4" w:space="0" w:color="000000"/>
              <w:right w:val="single" w:sz="4" w:space="0" w:color="000000"/>
            </w:tcBorders>
          </w:tcPr>
          <w:p w14:paraId="0271D4F9" w14:textId="77777777" w:rsidR="00EA29C5" w:rsidRDefault="00EA29C5" w:rsidP="00B564A3">
            <w:pPr>
              <w:rPr>
                <w:rFonts w:ascii="Arial" w:hAnsi="Arial" w:cs="Arial"/>
                <w:b/>
                <w:bCs/>
                <w:iCs/>
              </w:rPr>
            </w:pPr>
          </w:p>
          <w:p w14:paraId="640411D2" w14:textId="77777777" w:rsidR="00EA29C5" w:rsidRPr="00DA7A87" w:rsidRDefault="00EA29C5" w:rsidP="00B564A3">
            <w:pPr>
              <w:rPr>
                <w:rFonts w:ascii="Arial" w:hAnsi="Arial" w:cs="Arial"/>
                <w:b/>
                <w:bCs/>
                <w:iCs/>
              </w:rPr>
            </w:pPr>
            <w:r w:rsidRPr="00DA7A87">
              <w:rPr>
                <w:rFonts w:ascii="Arial" w:hAnsi="Arial" w:cs="Arial"/>
                <w:b/>
                <w:bCs/>
                <w:iCs/>
              </w:rPr>
              <w:t>MWC impacts:</w:t>
            </w:r>
          </w:p>
          <w:p w14:paraId="0B2C9C6E"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Improved long</w:t>
            </w:r>
            <w:r>
              <w:rPr>
                <w:rFonts w:ascii="Arial" w:hAnsi="Arial" w:cs="Arial"/>
              </w:rPr>
              <w:t>-</w:t>
            </w:r>
            <w:r w:rsidRPr="005D0102">
              <w:rPr>
                <w:rFonts w:ascii="Arial" w:hAnsi="Arial" w:cs="Arial"/>
              </w:rPr>
              <w:t>term health outcomes and well-being of New Zealanders, particularly for Māori and Pacific Peoples</w:t>
            </w:r>
          </w:p>
          <w:p w14:paraId="4979EB19"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Diverse range of young scientists with advanced capability and a greater awareness of cultural, economic, and community aspects of biomedical research</w:t>
            </w:r>
          </w:p>
          <w:p w14:paraId="653CEE54"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Economic benefits for the country including growth in the investment and performance of the therapeutics industry in New Zealand</w:t>
            </w:r>
          </w:p>
          <w:p w14:paraId="6D8FFAF5"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Improved science education for school children, particularly in Māori and Pacific communities</w:t>
            </w:r>
          </w:p>
          <w:p w14:paraId="479B7F2A"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New Zealand scientists as good global citizens in contributing to global health outcomes</w:t>
            </w:r>
          </w:p>
          <w:p w14:paraId="336A5955" w14:textId="77777777" w:rsidR="00EA29C5" w:rsidRPr="005D0102" w:rsidRDefault="00EA29C5" w:rsidP="00EA29C5">
            <w:pPr>
              <w:pStyle w:val="ListParagraph"/>
              <w:widowControl/>
              <w:numPr>
                <w:ilvl w:val="0"/>
                <w:numId w:val="4"/>
              </w:numPr>
              <w:pBdr>
                <w:top w:val="nil"/>
                <w:left w:val="nil"/>
                <w:bottom w:val="nil"/>
                <w:right w:val="nil"/>
                <w:between w:val="nil"/>
              </w:pBdr>
              <w:autoSpaceDE/>
              <w:autoSpaceDN/>
              <w:spacing w:before="60"/>
              <w:contextualSpacing/>
              <w:rPr>
                <w:rFonts w:ascii="Arial" w:hAnsi="Arial" w:cs="Arial"/>
              </w:rPr>
            </w:pPr>
            <w:r w:rsidRPr="005D0102">
              <w:rPr>
                <w:rFonts w:ascii="Arial" w:hAnsi="Arial" w:cs="Arial"/>
              </w:rPr>
              <w:t>Increased capability in Māori researchers and in our research community to engage with and undertake culturally appropriate research in a range of medical conditions</w:t>
            </w:r>
          </w:p>
          <w:p w14:paraId="11F1DB03" w14:textId="77777777" w:rsidR="00EA29C5" w:rsidRDefault="00EA29C5" w:rsidP="00B564A3">
            <w:pPr>
              <w:pBdr>
                <w:top w:val="nil"/>
                <w:left w:val="nil"/>
                <w:bottom w:val="nil"/>
                <w:right w:val="nil"/>
                <w:between w:val="nil"/>
              </w:pBdr>
              <w:spacing w:before="60"/>
            </w:pPr>
          </w:p>
        </w:tc>
      </w:tr>
    </w:tbl>
    <w:p w14:paraId="6EBF3AB9" w14:textId="77777777" w:rsidR="00EA29C5" w:rsidRDefault="00EA29C5" w:rsidP="00EA29C5"/>
    <w:tbl>
      <w:tblPr>
        <w:tblW w:w="10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8"/>
      </w:tblGrid>
      <w:tr w:rsidR="00EA29C5" w14:paraId="69912CB4" w14:textId="77777777" w:rsidTr="00B564A3">
        <w:trPr>
          <w:trHeight w:val="613"/>
          <w:jc w:val="center"/>
        </w:trPr>
        <w:tc>
          <w:tcPr>
            <w:tcW w:w="10078" w:type="dxa"/>
            <w:tcBorders>
              <w:top w:val="single" w:sz="4" w:space="0" w:color="000000"/>
              <w:left w:val="single" w:sz="4" w:space="0" w:color="000000"/>
              <w:bottom w:val="nil"/>
              <w:right w:val="single" w:sz="4" w:space="0" w:color="000000"/>
            </w:tcBorders>
          </w:tcPr>
          <w:p w14:paraId="393CB8FA" w14:textId="77777777" w:rsidR="00EA29C5" w:rsidRDefault="00EA29C5" w:rsidP="00B564A3">
            <w:pPr>
              <w:pStyle w:val="Heading2"/>
              <w:rPr>
                <w:b/>
              </w:rPr>
            </w:pPr>
            <w:bookmarkStart w:id="2" w:name="_Toc72252029"/>
            <w:r>
              <w:t xml:space="preserve">Outcomes </w:t>
            </w:r>
            <w:bookmarkEnd w:id="2"/>
          </w:p>
        </w:tc>
      </w:tr>
      <w:tr w:rsidR="00EA29C5" w14:paraId="79B62F73" w14:textId="77777777" w:rsidTr="00B564A3">
        <w:trPr>
          <w:trHeight w:val="613"/>
          <w:jc w:val="center"/>
        </w:trPr>
        <w:tc>
          <w:tcPr>
            <w:tcW w:w="10078" w:type="dxa"/>
            <w:tcBorders>
              <w:top w:val="nil"/>
              <w:left w:val="single" w:sz="4" w:space="0" w:color="000000"/>
              <w:bottom w:val="single" w:sz="4" w:space="0" w:color="000000"/>
              <w:right w:val="single" w:sz="4" w:space="0" w:color="000000"/>
            </w:tcBorders>
          </w:tcPr>
          <w:p w14:paraId="016CE616" w14:textId="77777777" w:rsidR="00EA29C5" w:rsidRDefault="00EA29C5" w:rsidP="00B564A3">
            <w:pPr>
              <w:pBdr>
                <w:top w:val="nil"/>
                <w:left w:val="nil"/>
                <w:bottom w:val="nil"/>
                <w:right w:val="nil"/>
                <w:between w:val="nil"/>
              </w:pBdr>
            </w:pPr>
          </w:p>
          <w:p w14:paraId="49C394A9" w14:textId="77777777" w:rsidR="00EA29C5" w:rsidRPr="00DA7A87" w:rsidRDefault="00EA29C5" w:rsidP="00B564A3">
            <w:pPr>
              <w:pBdr>
                <w:top w:val="nil"/>
                <w:left w:val="nil"/>
                <w:bottom w:val="nil"/>
                <w:right w:val="nil"/>
                <w:between w:val="nil"/>
              </w:pBdr>
              <w:rPr>
                <w:rFonts w:ascii="Arial" w:hAnsi="Arial" w:cs="Arial"/>
                <w:b/>
                <w:bCs/>
              </w:rPr>
            </w:pPr>
            <w:r w:rsidRPr="00DA7A87">
              <w:rPr>
                <w:rFonts w:ascii="Arial" w:hAnsi="Arial" w:cs="Arial"/>
                <w:b/>
                <w:bCs/>
              </w:rPr>
              <w:t>MWC outcomes:</w:t>
            </w:r>
          </w:p>
          <w:p w14:paraId="6F2AF9D9"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Development of better ways of treating disease using inter-disciplinary and inter-institutional collaborations, biomedical and translational research, and facilitating clinical trials supported by relevant diagnostic biomarkers</w:t>
            </w:r>
          </w:p>
          <w:p w14:paraId="5EBFF90F"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 xml:space="preserve">Advancing fundamental knowledge to inform precision medicine of the future, </w:t>
            </w:r>
            <w:proofErr w:type="gramStart"/>
            <w:r w:rsidRPr="005D0102">
              <w:rPr>
                <w:rFonts w:ascii="Arial" w:hAnsi="Arial" w:cs="Arial"/>
                <w:color w:val="000000"/>
              </w:rPr>
              <w:t>in particular to</w:t>
            </w:r>
            <w:proofErr w:type="gramEnd"/>
            <w:r w:rsidRPr="005D0102">
              <w:rPr>
                <w:rFonts w:ascii="Arial" w:hAnsi="Arial" w:cs="Arial"/>
                <w:color w:val="000000"/>
              </w:rPr>
              <w:t xml:space="preserve"> ensure that Māori and Pacific Peoples are not excluded from the benefits of the precision medicine revolution</w:t>
            </w:r>
          </w:p>
          <w:p w14:paraId="05C29EC7"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 xml:space="preserve">Development of young scientists who have skills in a broader range of experience and mentorship than would traditionally have been available  </w:t>
            </w:r>
          </w:p>
          <w:p w14:paraId="1651E21B"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A new generation of Māori and Pacific researchers in biomedical sciences to lead future activities with these communities who can collaborate safely with culturally aware tauiwi researchers</w:t>
            </w:r>
          </w:p>
          <w:p w14:paraId="5E5BE6EB"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 xml:space="preserve">Validation of new drug targets, development of new drugs or strategies for using drugs, development of diagnostics and vaccines and the development of clinical trials to test efficacy of such strategies </w:t>
            </w:r>
          </w:p>
          <w:p w14:paraId="06B6BFA8"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Promotion of a greater understanding of biomedical science in the New Zealand community, particularly in schools and Māori and Pacific communities</w:t>
            </w:r>
          </w:p>
          <w:p w14:paraId="2BE3544B" w14:textId="77777777" w:rsidR="00EA29C5" w:rsidRPr="005D0102" w:rsidRDefault="00EA29C5" w:rsidP="00EA29C5">
            <w:pPr>
              <w:pStyle w:val="ListParagraph"/>
              <w:widowControl/>
              <w:numPr>
                <w:ilvl w:val="0"/>
                <w:numId w:val="5"/>
              </w:numPr>
              <w:autoSpaceDE/>
              <w:autoSpaceDN/>
              <w:spacing w:before="240" w:after="240"/>
              <w:contextualSpacing/>
              <w:rPr>
                <w:rFonts w:ascii="Arial" w:hAnsi="Arial" w:cs="Arial"/>
                <w:color w:val="000000"/>
              </w:rPr>
            </w:pPr>
            <w:r w:rsidRPr="005D0102">
              <w:rPr>
                <w:rFonts w:ascii="Arial" w:hAnsi="Arial" w:cs="Arial"/>
                <w:color w:val="000000"/>
              </w:rPr>
              <w:t>Enhancement of the scientific partnership between New Zealand and other nations that leads to increased opportunities for New Zealand researchers</w:t>
            </w:r>
          </w:p>
          <w:p w14:paraId="4B2586EE" w14:textId="77777777" w:rsidR="00EA29C5" w:rsidRDefault="00EA29C5" w:rsidP="00B564A3">
            <w:pPr>
              <w:tabs>
                <w:tab w:val="left" w:pos="1276"/>
                <w:tab w:val="left" w:pos="7088"/>
                <w:tab w:val="right" w:pos="9370"/>
              </w:tabs>
            </w:pPr>
          </w:p>
        </w:tc>
      </w:tr>
    </w:tbl>
    <w:p w14:paraId="5D474A8F" w14:textId="77777777" w:rsidR="00EA29C5" w:rsidRDefault="00EA29C5" w:rsidP="00EA29C5"/>
    <w:p w14:paraId="13042C7D" w14:textId="77777777" w:rsidR="00EA29C5" w:rsidRDefault="00EA29C5" w:rsidP="00EA29C5">
      <w:r>
        <w:br w:type="page"/>
      </w:r>
    </w:p>
    <w:p w14:paraId="222B7767" w14:textId="77777777" w:rsidR="00EA29C5" w:rsidRDefault="00EA29C5" w:rsidP="00EA29C5"/>
    <w:tbl>
      <w:tblPr>
        <w:tblW w:w="10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8"/>
      </w:tblGrid>
      <w:tr w:rsidR="00EA29C5" w14:paraId="5068FBE5" w14:textId="77777777" w:rsidTr="00B564A3">
        <w:trPr>
          <w:trHeight w:val="613"/>
          <w:jc w:val="center"/>
        </w:trPr>
        <w:tc>
          <w:tcPr>
            <w:tcW w:w="10078" w:type="dxa"/>
            <w:tcBorders>
              <w:top w:val="single" w:sz="4" w:space="0" w:color="000000"/>
              <w:left w:val="single" w:sz="4" w:space="0" w:color="000000"/>
              <w:bottom w:val="nil"/>
              <w:right w:val="single" w:sz="4" w:space="0" w:color="000000"/>
            </w:tcBorders>
          </w:tcPr>
          <w:p w14:paraId="78906289" w14:textId="77777777" w:rsidR="00EA29C5" w:rsidRDefault="00EA29C5" w:rsidP="00B564A3">
            <w:pPr>
              <w:pStyle w:val="Heading2"/>
            </w:pPr>
            <w:bookmarkStart w:id="3" w:name="_Toc72252034"/>
            <w:r>
              <w:t>Research plan</w:t>
            </w:r>
            <w:bookmarkEnd w:id="3"/>
            <w:r>
              <w:t xml:space="preserve"> </w:t>
            </w:r>
          </w:p>
          <w:p w14:paraId="562123D8" w14:textId="77777777" w:rsidR="00EA29C5" w:rsidRPr="00764CC3" w:rsidRDefault="00EA29C5" w:rsidP="00B564A3">
            <w:pPr>
              <w:rPr>
                <w:lang w:val="x-none" w:eastAsia="x-none"/>
              </w:rPr>
            </w:pPr>
          </w:p>
        </w:tc>
      </w:tr>
      <w:tr w:rsidR="00EA29C5" w14:paraId="7F614234" w14:textId="77777777" w:rsidTr="00B564A3">
        <w:trPr>
          <w:trHeight w:val="613"/>
          <w:jc w:val="center"/>
        </w:trPr>
        <w:tc>
          <w:tcPr>
            <w:tcW w:w="10078" w:type="dxa"/>
            <w:tcBorders>
              <w:top w:val="nil"/>
            </w:tcBorders>
          </w:tcPr>
          <w:p w14:paraId="669465A4" w14:textId="77777777" w:rsidR="00EA29C5" w:rsidRPr="00764CC3" w:rsidRDefault="00EA29C5" w:rsidP="00B564A3">
            <w:pPr>
              <w:spacing w:after="240"/>
              <w:rPr>
                <w:rFonts w:ascii="Arial" w:eastAsia="Times New Roman" w:hAnsi="Arial" w:cs="Arial"/>
                <w:lang w:val="en-NZ" w:eastAsia="ja-JP"/>
              </w:rPr>
            </w:pPr>
            <w:r w:rsidRPr="00764CC3">
              <w:rPr>
                <w:rFonts w:ascii="Arial" w:eastAsia="Times New Roman" w:hAnsi="Arial" w:cs="Arial"/>
                <w:lang w:val="en-NZ" w:eastAsia="ja-JP"/>
              </w:rPr>
              <w:t xml:space="preserve">Understanding the processes causing disease and developing new treatments for them is a major challenge requiring the application of a wide range of specialist skills at the appropriate time in the process.  This is hard to achieve using traditional, academic, investigator-led research structures as these tend to make it very difficult to achieve sufficient scale and continuity to tackle the wide range of scientific questions that need to be addressed in such a process. The MWC provides a unique model that brings together the best researchers available in New Zealand to overcome these issues, promoting national-level collaborations. This includes over 600 research scientists and clinicians based at six Universities and four other research institutes, thus encompassing a large proportion of New Zealand’s capabilities in these areas and allowing the country to make the most of the resources it invests. Many scientific skills and technologies are agnostic to the particular disease area to which they are applied, so having access to such a wide range of skills provides a flexible capability to respond rapidly and effectively to challenges posed by a wide range of diseases. A notable feature of the MWC structure is that it also provides investment and expertise to develop large scale resources and datasets that will enable significant amounts of future research. </w:t>
            </w:r>
          </w:p>
          <w:p w14:paraId="660C4288" w14:textId="77777777" w:rsidR="00EA29C5" w:rsidRDefault="00EA29C5" w:rsidP="00B564A3">
            <w:pPr>
              <w:pBdr>
                <w:top w:val="nil"/>
                <w:left w:val="nil"/>
                <w:bottom w:val="nil"/>
                <w:right w:val="nil"/>
                <w:between w:val="nil"/>
              </w:pBdr>
              <w:spacing w:before="60" w:after="60"/>
              <w:rPr>
                <w:color w:val="000000"/>
              </w:rPr>
            </w:pPr>
            <w:r w:rsidRPr="00764CC3">
              <w:rPr>
                <w:rFonts w:ascii="Arial" w:eastAsia="Times New Roman" w:hAnsi="Arial" w:cs="Arial"/>
                <w:lang w:val="en-NZ" w:eastAsia="ja-JP"/>
              </w:rPr>
              <w:t xml:space="preserve">In 2025-2028, the MWC will continue its successful programmes in the three theme areas of metabolic health, infectious diseases and cancer immunology, and introduce a new “cross-theme” focus on how genomics and other big data-sets can inform understanding of these conditions. A major reason for this focus is that these are diseases that contribute most to health disparities and inequities facing Māori and Pacific Peoples. The Centre’s investigators have extensive expertise and experience in all of the scientific disciplines needed to underpin these disease-focused research programmes. Firstly, it will fund large-scale nationally-collaborative research programmes based on existing skills in the Centre.  These will be supported by allocation of postdoctoral fellows, studentships and funding for research working expenses. These are designed to generate important new knowledge that will provide a platform for further research that can align with and leverage other funding mechanisms to expand the scope of the research.  At the same time as enabling targeted research programmes at national scale, we will support innovative multi-disciplinary collaborative projects. These smaller scale collaborations will provide a springboard for the kinds of advances in biomedical science that are difficult to anticipate. These new projects will be integrated into appropriate </w:t>
            </w:r>
            <w:sdt>
              <w:sdtPr>
                <w:rPr>
                  <w:rFonts w:ascii="Arial" w:eastAsia="Times New Roman" w:hAnsi="Arial" w:cs="Arial"/>
                  <w:lang w:val="en-NZ" w:eastAsia="ja-JP"/>
                </w:rPr>
                <w:tag w:val="goog_rdk_3"/>
                <w:id w:val="51201553"/>
              </w:sdtPr>
              <w:sdtContent/>
            </w:sdt>
            <w:r w:rsidRPr="00764CC3">
              <w:rPr>
                <w:rFonts w:ascii="Arial" w:eastAsia="Times New Roman" w:hAnsi="Arial" w:cs="Arial"/>
                <w:lang w:val="en-NZ" w:eastAsia="ja-JP"/>
              </w:rPr>
              <w:t>themes to capture the strategic focus of the MWC. We will continue to support other</w:t>
            </w:r>
            <w:sdt>
              <w:sdtPr>
                <w:rPr>
                  <w:rFonts w:ascii="Arial" w:eastAsia="Times New Roman" w:hAnsi="Arial" w:cs="Arial"/>
                  <w:lang w:val="en-NZ" w:eastAsia="ja-JP"/>
                </w:rPr>
                <w:tag w:val="goog_rdk_4"/>
                <w:id w:val="2086879799"/>
              </w:sdtPr>
              <w:sdtContent/>
            </w:sdt>
            <w:r w:rsidRPr="00764CC3">
              <w:rPr>
                <w:rFonts w:ascii="Arial" w:eastAsia="Times New Roman" w:hAnsi="Arial" w:cs="Arial"/>
                <w:lang w:val="en-NZ" w:eastAsia="ja-JP"/>
              </w:rPr>
              <w:t xml:space="preserve"> new areas of research as they arise to generate a pipeline of new research strands on which to develop major programmes in the future. The MWC will act as a conduit for groups of our researchers to build, support and sustain substantial international collaborations.  The Centre will implement funding mechanisms to support the development of careers of the next generation of research leaders and to equip them with the wide range of skills required to undertake globally competitive multi-disciplinary and translational science. These programmes will have a particular focus on Māori and Pacific Peoples. MWC’s growing capabilities in clinical research and clinical trials will be employed to ensure research findings can be translated into health benefits for New Zealand patients. The MWC also has significant expertise in commercialisation and will use this to ensure capture of any economic benefit to New Zealand from its research and also to assist with the translation of the research to the clinic.</w:t>
            </w:r>
          </w:p>
        </w:tc>
      </w:tr>
    </w:tbl>
    <w:p w14:paraId="5135CD2F" w14:textId="77777777" w:rsidR="00EA29C5" w:rsidRDefault="00EA29C5" w:rsidP="00EA29C5"/>
    <w:p w14:paraId="180D6D80" w14:textId="77777777" w:rsidR="00EA29C5" w:rsidRPr="007C3275" w:rsidRDefault="00EA29C5" w:rsidP="00EA29C5">
      <w:pPr>
        <w:pStyle w:val="ListMWC"/>
        <w:numPr>
          <w:ilvl w:val="0"/>
          <w:numId w:val="0"/>
        </w:numPr>
        <w:ind w:left="360"/>
      </w:pPr>
    </w:p>
    <w:p w14:paraId="562E90C7" w14:textId="77777777" w:rsidR="00EA29C5" w:rsidRDefault="00EA29C5" w:rsidP="00EA29C5">
      <w:pPr>
        <w:rPr>
          <w:rFonts w:ascii="Arial" w:eastAsia="Times New Roman" w:hAnsi="Arial" w:cs="Arial"/>
          <w:color w:val="000000"/>
          <w:lang w:val="en-GB" w:eastAsia="en-GB"/>
        </w:rPr>
      </w:pPr>
      <w:r>
        <w:br w:type="page"/>
      </w:r>
    </w:p>
    <w:tbl>
      <w:tblPr>
        <w:tblW w:w="100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78"/>
      </w:tblGrid>
      <w:tr w:rsidR="00EA29C5" w14:paraId="4DAE0B58" w14:textId="77777777" w:rsidTr="00B564A3">
        <w:trPr>
          <w:trHeight w:val="465"/>
          <w:jc w:val="center"/>
        </w:trPr>
        <w:tc>
          <w:tcPr>
            <w:tcW w:w="100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37514DC" w14:textId="77777777" w:rsidR="00EA29C5" w:rsidRDefault="00EA29C5" w:rsidP="00B564A3">
            <w:pPr>
              <w:pStyle w:val="Heading2"/>
              <w:rPr>
                <w:sz w:val="22"/>
                <w:szCs w:val="22"/>
              </w:rPr>
            </w:pPr>
            <w:bookmarkStart w:id="4" w:name="Theme1"/>
            <w:bookmarkStart w:id="5" w:name="_Toc72252035"/>
            <w:r>
              <w:lastRenderedPageBreak/>
              <w:t xml:space="preserve">Theme 1 </w:t>
            </w:r>
            <w:bookmarkEnd w:id="4"/>
            <w:r>
              <w:t>- Metabolic Health</w:t>
            </w:r>
            <w:bookmarkEnd w:id="5"/>
          </w:p>
        </w:tc>
      </w:tr>
      <w:tr w:rsidR="00EA29C5" w14:paraId="04D61B2E" w14:textId="77777777" w:rsidTr="00B564A3">
        <w:trPr>
          <w:trHeight w:val="465"/>
          <w:jc w:val="center"/>
        </w:trPr>
        <w:tc>
          <w:tcPr>
            <w:tcW w:w="10078" w:type="dxa"/>
            <w:tcBorders>
              <w:bottom w:val="nil"/>
            </w:tcBorders>
            <w:shd w:val="clear" w:color="auto" w:fill="FFFFFF" w:themeFill="background1"/>
          </w:tcPr>
          <w:p w14:paraId="28F61D7D" w14:textId="77777777" w:rsidR="00EA29C5" w:rsidRPr="00356B93" w:rsidRDefault="00EA29C5" w:rsidP="00B564A3">
            <w:pPr>
              <w:pStyle w:val="Heading2"/>
              <w:rPr>
                <w:sz w:val="28"/>
                <w:szCs w:val="28"/>
              </w:rPr>
            </w:pPr>
            <w:bookmarkStart w:id="6" w:name="_Toc72252036"/>
            <w:r w:rsidRPr="00356B93">
              <w:rPr>
                <w:sz w:val="28"/>
                <w:szCs w:val="28"/>
              </w:rPr>
              <w:t>Overview</w:t>
            </w:r>
            <w:bookmarkEnd w:id="6"/>
          </w:p>
        </w:tc>
      </w:tr>
      <w:tr w:rsidR="00EA29C5" w14:paraId="1D84FA8A" w14:textId="77777777" w:rsidTr="00B564A3">
        <w:trPr>
          <w:trHeight w:val="613"/>
          <w:jc w:val="center"/>
        </w:trPr>
        <w:tc>
          <w:tcPr>
            <w:tcW w:w="10078" w:type="dxa"/>
            <w:tcBorders>
              <w:top w:val="nil"/>
              <w:bottom w:val="single" w:sz="4" w:space="0" w:color="000000" w:themeColor="text1"/>
            </w:tcBorders>
          </w:tcPr>
          <w:p w14:paraId="24DD743A" w14:textId="77777777" w:rsidR="00EA29C5" w:rsidRPr="00764CC3" w:rsidRDefault="00EA29C5" w:rsidP="00B564A3">
            <w:pPr>
              <w:tabs>
                <w:tab w:val="left" w:pos="1276"/>
                <w:tab w:val="left" w:pos="7088"/>
                <w:tab w:val="right" w:pos="9370"/>
              </w:tabs>
              <w:spacing w:after="40"/>
              <w:ind w:left="20" w:right="20"/>
              <w:rPr>
                <w:rFonts w:ascii="Arial" w:hAnsi="Arial" w:cs="Arial"/>
              </w:rPr>
            </w:pPr>
            <w:r w:rsidRPr="00764CC3">
              <w:rPr>
                <w:rFonts w:ascii="Arial" w:hAnsi="Arial" w:cs="Arial"/>
              </w:rPr>
              <w:t xml:space="preserve">The disproportionately high rates of the spectrum of related metabolic diseases including type-2 diabetes, obesity, cardiovascular disease and kidney disease in Māori and Pacific Peoples are a major contributor to health disparities in Aotearoa / New Zealand.  As genetic factors contribute up to half of the risk of developing metabolic diseases, understanding how genetic factors contribute to this for Māori and Pacific Peoples will allow for development of precision medicine approaches adapted to an individual rather than using current “one size fits all” treatments. However, Māori and Pacific Peoples are poorly represented in current global genetic studies needed to inform precision medicine and the limited research conducted to date has identified genetic factors that are unique to Polynesian Peoples.  This highlights the need to do this research in New Zealand where these Peoples are concentrated. Already, studies by MWC researchers </w:t>
            </w:r>
            <w:proofErr w:type="gramStart"/>
            <w:r w:rsidRPr="00764CC3">
              <w:rPr>
                <w:rFonts w:ascii="Arial" w:hAnsi="Arial" w:cs="Arial"/>
              </w:rPr>
              <w:t>has</w:t>
            </w:r>
            <w:proofErr w:type="gramEnd"/>
            <w:r w:rsidRPr="00764CC3">
              <w:rPr>
                <w:rFonts w:ascii="Arial" w:hAnsi="Arial" w:cs="Arial"/>
              </w:rPr>
              <w:t xml:space="preserve"> built on this evidence of unique genetic factors contributing to metabolic diseases in Māori and Pacific Peoples. To extend this research requires a large-scale multidisciplinary approach, including significant clinical involvement that can only be delivered by an </w:t>
            </w:r>
            <w:proofErr w:type="spellStart"/>
            <w:r w:rsidRPr="00764CC3">
              <w:rPr>
                <w:rFonts w:ascii="Arial" w:hAnsi="Arial" w:cs="Arial"/>
              </w:rPr>
              <w:t>organisation</w:t>
            </w:r>
            <w:proofErr w:type="spellEnd"/>
            <w:r w:rsidRPr="00764CC3">
              <w:rPr>
                <w:rFonts w:ascii="Arial" w:hAnsi="Arial" w:cs="Arial"/>
              </w:rPr>
              <w:t xml:space="preserve"> such as the MWC.  This will involve supporting and building metabolic disease research capabilities and collaborations across the Centre through the various funding mechanisms that the Centre has available. In </w:t>
            </w:r>
            <w:proofErr w:type="gramStart"/>
            <w:r w:rsidRPr="00764CC3">
              <w:rPr>
                <w:rFonts w:ascii="Arial" w:hAnsi="Arial" w:cs="Arial"/>
              </w:rPr>
              <w:t>addition</w:t>
            </w:r>
            <w:proofErr w:type="gramEnd"/>
            <w:r w:rsidRPr="00764CC3">
              <w:rPr>
                <w:rFonts w:ascii="Arial" w:hAnsi="Arial" w:cs="Arial"/>
              </w:rPr>
              <w:t xml:space="preserve"> the MWC will bring together a wide range of expertise from across NZ to develop a </w:t>
            </w:r>
            <w:proofErr w:type="gramStart"/>
            <w:r w:rsidRPr="00764CC3">
              <w:rPr>
                <w:rFonts w:ascii="Arial" w:hAnsi="Arial" w:cs="Arial"/>
              </w:rPr>
              <w:t>large scale</w:t>
            </w:r>
            <w:proofErr w:type="gramEnd"/>
            <w:r w:rsidRPr="00764CC3">
              <w:rPr>
                <w:rFonts w:ascii="Arial" w:hAnsi="Arial" w:cs="Arial"/>
              </w:rPr>
              <w:t xml:space="preserve"> interlinked </w:t>
            </w:r>
            <w:proofErr w:type="spellStart"/>
            <w:r w:rsidRPr="00764CC3">
              <w:rPr>
                <w:rFonts w:ascii="Arial" w:hAnsi="Arial" w:cs="Arial"/>
              </w:rPr>
              <w:t>programme</w:t>
            </w:r>
            <w:proofErr w:type="spellEnd"/>
            <w:r w:rsidRPr="00764CC3">
              <w:rPr>
                <w:rFonts w:ascii="Arial" w:hAnsi="Arial" w:cs="Arial"/>
              </w:rPr>
              <w:t xml:space="preserve"> to study how genetic factors unique to Māori and Pacific Peoples could impact on the risk of developing metabolic diseases or on the efficacy of preventative strategies or of therapeutic interventions for these diseases. </w:t>
            </w:r>
          </w:p>
          <w:p w14:paraId="5EC0979B" w14:textId="77777777" w:rsidR="00EA29C5" w:rsidRPr="00764CC3" w:rsidRDefault="00EA29C5" w:rsidP="00B564A3">
            <w:pPr>
              <w:tabs>
                <w:tab w:val="left" w:pos="1276"/>
                <w:tab w:val="left" w:pos="7088"/>
                <w:tab w:val="right" w:pos="9370"/>
              </w:tabs>
              <w:spacing w:after="40"/>
              <w:ind w:left="20" w:right="20"/>
              <w:rPr>
                <w:rFonts w:ascii="Arial" w:hAnsi="Arial" w:cs="Arial"/>
                <w:color w:val="808080"/>
              </w:rPr>
            </w:pPr>
          </w:p>
        </w:tc>
      </w:tr>
      <w:tr w:rsidR="00EA29C5" w14:paraId="4CEC3F17" w14:textId="77777777" w:rsidTr="00B564A3">
        <w:trPr>
          <w:trHeight w:val="465"/>
          <w:jc w:val="center"/>
        </w:trPr>
        <w:tc>
          <w:tcPr>
            <w:tcW w:w="10078" w:type="dxa"/>
            <w:tcBorders>
              <w:bottom w:val="nil"/>
            </w:tcBorders>
            <w:shd w:val="clear" w:color="auto" w:fill="FFFFFF" w:themeFill="background1"/>
          </w:tcPr>
          <w:p w14:paraId="118C42D2" w14:textId="77777777" w:rsidR="00EA29C5" w:rsidRPr="00356B93" w:rsidRDefault="00EA29C5" w:rsidP="00B564A3">
            <w:pPr>
              <w:pStyle w:val="Heading2"/>
              <w:rPr>
                <w:sz w:val="28"/>
                <w:szCs w:val="28"/>
                <w:lang w:val="en-US"/>
              </w:rPr>
            </w:pPr>
            <w:bookmarkStart w:id="7" w:name="_Toc72252037"/>
            <w:r w:rsidRPr="7147AD22">
              <w:rPr>
                <w:sz w:val="28"/>
                <w:szCs w:val="28"/>
                <w:lang w:val="en-US"/>
              </w:rPr>
              <w:t xml:space="preserve">Research </w:t>
            </w:r>
            <w:proofErr w:type="spellStart"/>
            <w:r w:rsidRPr="7147AD22">
              <w:rPr>
                <w:sz w:val="28"/>
                <w:szCs w:val="28"/>
                <w:lang w:val="en-US"/>
              </w:rPr>
              <w:t>Programme</w:t>
            </w:r>
            <w:proofErr w:type="spellEnd"/>
            <w:r w:rsidRPr="7147AD22">
              <w:rPr>
                <w:sz w:val="28"/>
                <w:szCs w:val="28"/>
                <w:lang w:val="en-US"/>
              </w:rPr>
              <w:t xml:space="preserve"> 1:  Understanding genetic drivers of metabolic disease in Māori and Pacific women.</w:t>
            </w:r>
            <w:bookmarkEnd w:id="7"/>
          </w:p>
        </w:tc>
      </w:tr>
      <w:tr w:rsidR="00EA29C5" w14:paraId="6BF70154" w14:textId="77777777" w:rsidTr="00B564A3">
        <w:trPr>
          <w:trHeight w:val="571"/>
          <w:jc w:val="center"/>
        </w:trPr>
        <w:tc>
          <w:tcPr>
            <w:tcW w:w="10078" w:type="dxa"/>
            <w:tcBorders>
              <w:top w:val="nil"/>
              <w:bottom w:val="single" w:sz="4" w:space="0" w:color="000000" w:themeColor="text1"/>
            </w:tcBorders>
          </w:tcPr>
          <w:p w14:paraId="1E3D362A" w14:textId="77777777" w:rsidR="00EA29C5" w:rsidRPr="00764CC3" w:rsidRDefault="00EA29C5" w:rsidP="00B564A3">
            <w:pPr>
              <w:tabs>
                <w:tab w:val="left" w:pos="940"/>
              </w:tabs>
              <w:spacing w:line="280" w:lineRule="auto"/>
              <w:rPr>
                <w:rFonts w:ascii="Arial" w:hAnsi="Arial" w:cs="Arial"/>
                <w:b/>
                <w:bCs/>
                <w:u w:val="single"/>
              </w:rPr>
            </w:pPr>
          </w:p>
          <w:p w14:paraId="2D53B6CF" w14:textId="77777777" w:rsidR="00EA29C5" w:rsidRPr="00764CC3" w:rsidRDefault="00EA29C5" w:rsidP="00B564A3">
            <w:pPr>
              <w:tabs>
                <w:tab w:val="left" w:pos="1276"/>
                <w:tab w:val="left" w:pos="4084"/>
              </w:tabs>
              <w:rPr>
                <w:rFonts w:ascii="Arial" w:hAnsi="Arial" w:cs="Arial"/>
              </w:rPr>
            </w:pPr>
            <w:r w:rsidRPr="00764CC3">
              <w:rPr>
                <w:rFonts w:ascii="Arial" w:hAnsi="Arial" w:cs="Arial"/>
                <w:u w:val="single"/>
              </w:rPr>
              <w:t>(</w:t>
            </w:r>
            <w:proofErr w:type="spellStart"/>
            <w:r w:rsidRPr="00764CC3">
              <w:rPr>
                <w:rFonts w:ascii="Arial" w:hAnsi="Arial" w:cs="Arial"/>
                <w:u w:val="single"/>
              </w:rPr>
              <w:t>i</w:t>
            </w:r>
            <w:proofErr w:type="spellEnd"/>
            <w:r w:rsidRPr="00764CC3">
              <w:rPr>
                <w:rFonts w:ascii="Arial" w:hAnsi="Arial" w:cs="Arial"/>
                <w:u w:val="single"/>
              </w:rPr>
              <w:t>) Deep Metabolic Phenotyping</w:t>
            </w:r>
            <w:r w:rsidRPr="00764CC3">
              <w:rPr>
                <w:rFonts w:ascii="Arial" w:hAnsi="Arial" w:cs="Arial"/>
              </w:rPr>
              <w:t xml:space="preserve">: Work will continue to complete the </w:t>
            </w:r>
            <w:proofErr w:type="gramStart"/>
            <w:r w:rsidRPr="00764CC3">
              <w:rPr>
                <w:rFonts w:ascii="Arial" w:hAnsi="Arial" w:cs="Arial"/>
              </w:rPr>
              <w:t>in depth</w:t>
            </w:r>
            <w:proofErr w:type="gramEnd"/>
            <w:r w:rsidRPr="00764CC3">
              <w:rPr>
                <w:rFonts w:ascii="Arial" w:hAnsi="Arial" w:cs="Arial"/>
              </w:rPr>
              <w:t xml:space="preserve"> metabolic phenotyping </w:t>
            </w:r>
            <w:proofErr w:type="gramStart"/>
            <w:r w:rsidRPr="00764CC3">
              <w:rPr>
                <w:rFonts w:ascii="Arial" w:hAnsi="Arial" w:cs="Arial"/>
              </w:rPr>
              <w:t>studies  in</w:t>
            </w:r>
            <w:proofErr w:type="gramEnd"/>
            <w:r w:rsidRPr="00764CC3">
              <w:rPr>
                <w:rFonts w:ascii="Arial" w:hAnsi="Arial" w:cs="Arial"/>
              </w:rPr>
              <w:t xml:space="preserve"> 1000 Māori and Pacific women and men started in 2021-2024. This includes body composition analysis, energy expenditure measurements and assays of key parameters in blood samples.  The aim is to understand how genetic variants contribute to factors involved in the development of metabolic diseases with the </w:t>
            </w:r>
            <w:proofErr w:type="gramStart"/>
            <w:r w:rsidRPr="00764CC3">
              <w:rPr>
                <w:rFonts w:ascii="Arial" w:hAnsi="Arial" w:cs="Arial"/>
              </w:rPr>
              <w:t>main focus</w:t>
            </w:r>
            <w:proofErr w:type="gramEnd"/>
            <w:r w:rsidRPr="00764CC3">
              <w:rPr>
                <w:rFonts w:ascii="Arial" w:hAnsi="Arial" w:cs="Arial"/>
              </w:rPr>
              <w:t xml:space="preserve"> being on type-2 diabetes, kidney disease, cardiovascular disease and gout.  Final sample collection should be completed within the next year, and then final analysis of data is expected to be completed by 2026.</w:t>
            </w:r>
          </w:p>
          <w:p w14:paraId="7F98FCF6" w14:textId="77777777" w:rsidR="00EA29C5" w:rsidRPr="00764CC3" w:rsidRDefault="00EA29C5" w:rsidP="00B564A3">
            <w:pPr>
              <w:tabs>
                <w:tab w:val="left" w:pos="1276"/>
                <w:tab w:val="left" w:pos="4084"/>
              </w:tabs>
              <w:rPr>
                <w:rFonts w:ascii="Arial" w:hAnsi="Arial" w:cs="Arial"/>
              </w:rPr>
            </w:pPr>
          </w:p>
          <w:p w14:paraId="2B2D5A70" w14:textId="77777777" w:rsidR="00EA29C5" w:rsidRPr="00764CC3" w:rsidRDefault="00EA29C5" w:rsidP="00B564A3">
            <w:pPr>
              <w:tabs>
                <w:tab w:val="left" w:pos="1276"/>
                <w:tab w:val="left" w:pos="7088"/>
                <w:tab w:val="right" w:pos="9370"/>
              </w:tabs>
              <w:rPr>
                <w:rFonts w:ascii="Arial" w:hAnsi="Arial" w:cs="Arial"/>
                <w:b/>
              </w:rPr>
            </w:pPr>
            <w:r w:rsidRPr="00764CC3">
              <w:rPr>
                <w:rFonts w:ascii="Arial" w:hAnsi="Arial" w:cs="Arial"/>
                <w:b/>
              </w:rPr>
              <w:t>Annual plan milestones</w:t>
            </w:r>
          </w:p>
          <w:p w14:paraId="05F331EA" w14:textId="77777777" w:rsidR="00EA29C5" w:rsidRPr="00764CC3" w:rsidRDefault="00EA29C5" w:rsidP="00B564A3">
            <w:pPr>
              <w:tabs>
                <w:tab w:val="left" w:pos="1276"/>
                <w:tab w:val="left" w:pos="4084"/>
              </w:tabs>
              <w:rPr>
                <w:rFonts w:ascii="Arial" w:hAnsi="Arial" w:cs="Arial"/>
              </w:rPr>
            </w:pPr>
          </w:p>
          <w:p w14:paraId="5DCE8C76"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 xml:space="preserve">2025:  </w:t>
            </w:r>
            <w:r w:rsidRPr="00764CC3">
              <w:rPr>
                <w:rFonts w:ascii="Arial" w:hAnsi="Arial" w:cs="Arial"/>
              </w:rPr>
              <w:tab/>
            </w:r>
          </w:p>
          <w:p w14:paraId="57EF7C62" w14:textId="77777777" w:rsidR="00EA29C5" w:rsidRPr="00764CC3" w:rsidRDefault="00EA29C5" w:rsidP="00EA29C5">
            <w:pPr>
              <w:pStyle w:val="ListParagraph"/>
              <w:widowControl/>
              <w:numPr>
                <w:ilvl w:val="0"/>
                <w:numId w:val="13"/>
              </w:numPr>
              <w:tabs>
                <w:tab w:val="left" w:pos="729"/>
                <w:tab w:val="left" w:pos="4084"/>
              </w:tabs>
              <w:autoSpaceDE/>
              <w:autoSpaceDN/>
              <w:contextualSpacing/>
              <w:rPr>
                <w:rFonts w:ascii="Arial" w:hAnsi="Arial" w:cs="Arial"/>
              </w:rPr>
            </w:pPr>
            <w:r w:rsidRPr="00764CC3">
              <w:rPr>
                <w:rFonts w:ascii="Arial" w:hAnsi="Arial" w:cs="Arial"/>
              </w:rPr>
              <w:t>Complete phenotyping of 500 women (to complement the 500 samples from men already collected) and begin assays on samples</w:t>
            </w:r>
          </w:p>
          <w:p w14:paraId="19839C90" w14:textId="77777777" w:rsidR="00EA29C5" w:rsidRPr="00764CC3" w:rsidRDefault="00EA29C5" w:rsidP="00B564A3">
            <w:pPr>
              <w:tabs>
                <w:tab w:val="left" w:pos="729"/>
                <w:tab w:val="left" w:pos="4084"/>
              </w:tabs>
              <w:rPr>
                <w:rFonts w:ascii="Arial" w:hAnsi="Arial" w:cs="Arial"/>
              </w:rPr>
            </w:pPr>
          </w:p>
          <w:p w14:paraId="6919F56F" w14:textId="77777777" w:rsidR="00EA29C5" w:rsidRPr="00764CC3" w:rsidRDefault="00EA29C5" w:rsidP="00B564A3">
            <w:pPr>
              <w:tabs>
                <w:tab w:val="left" w:pos="729"/>
                <w:tab w:val="left" w:pos="4084"/>
              </w:tabs>
              <w:rPr>
                <w:rFonts w:ascii="Arial" w:hAnsi="Arial" w:cs="Arial"/>
              </w:rPr>
            </w:pPr>
            <w:r w:rsidRPr="00764CC3">
              <w:rPr>
                <w:rFonts w:ascii="Arial" w:hAnsi="Arial" w:cs="Arial"/>
              </w:rPr>
              <w:t xml:space="preserve">2026: </w:t>
            </w:r>
          </w:p>
          <w:p w14:paraId="23E99B36" w14:textId="77777777" w:rsidR="00EA29C5" w:rsidRPr="00764CC3" w:rsidRDefault="00EA29C5" w:rsidP="00EA29C5">
            <w:pPr>
              <w:pStyle w:val="ListParagraph"/>
              <w:widowControl/>
              <w:numPr>
                <w:ilvl w:val="0"/>
                <w:numId w:val="13"/>
              </w:numPr>
              <w:tabs>
                <w:tab w:val="left" w:pos="729"/>
                <w:tab w:val="left" w:pos="4084"/>
              </w:tabs>
              <w:autoSpaceDE/>
              <w:autoSpaceDN/>
              <w:contextualSpacing/>
              <w:rPr>
                <w:rFonts w:ascii="Arial" w:hAnsi="Arial" w:cs="Arial"/>
              </w:rPr>
            </w:pPr>
            <w:r w:rsidRPr="00764CC3">
              <w:rPr>
                <w:rFonts w:ascii="Arial" w:hAnsi="Arial" w:cs="Arial"/>
              </w:rPr>
              <w:t>Complete assays and perform analysis of the data for entire phenotyping study</w:t>
            </w:r>
          </w:p>
          <w:p w14:paraId="53F43212" w14:textId="77777777" w:rsidR="00EA29C5" w:rsidRPr="00764CC3" w:rsidRDefault="00EA29C5" w:rsidP="00B564A3">
            <w:pPr>
              <w:tabs>
                <w:tab w:val="left" w:pos="1276"/>
                <w:tab w:val="left" w:pos="4084"/>
              </w:tabs>
              <w:rPr>
                <w:rFonts w:ascii="Arial" w:hAnsi="Arial" w:cs="Arial"/>
              </w:rPr>
            </w:pPr>
          </w:p>
          <w:p w14:paraId="5A31B301" w14:textId="77777777" w:rsidR="00EA29C5" w:rsidRPr="00764CC3" w:rsidRDefault="00EA29C5" w:rsidP="00EA29C5">
            <w:pPr>
              <w:pStyle w:val="ListParagraph"/>
              <w:widowControl/>
              <w:numPr>
                <w:ilvl w:val="0"/>
                <w:numId w:val="13"/>
              </w:numPr>
              <w:tabs>
                <w:tab w:val="left" w:pos="729"/>
                <w:tab w:val="left" w:pos="4084"/>
              </w:tabs>
              <w:autoSpaceDE/>
              <w:autoSpaceDN/>
              <w:contextualSpacing/>
              <w:rPr>
                <w:rFonts w:ascii="Arial" w:hAnsi="Arial" w:cs="Arial"/>
              </w:rPr>
            </w:pPr>
            <w:r w:rsidRPr="00764CC3">
              <w:rPr>
                <w:rFonts w:ascii="Arial" w:hAnsi="Arial" w:cs="Arial"/>
              </w:rPr>
              <w:t>Use expertise of MWC metabolic research experts to interpret the findings and identify future research directions</w:t>
            </w:r>
          </w:p>
          <w:p w14:paraId="3FAD1EBB" w14:textId="77777777" w:rsidR="00EA29C5" w:rsidRPr="00764CC3" w:rsidRDefault="00EA29C5" w:rsidP="00B564A3">
            <w:pPr>
              <w:tabs>
                <w:tab w:val="left" w:pos="1276"/>
                <w:tab w:val="left" w:pos="4084"/>
              </w:tabs>
              <w:rPr>
                <w:rFonts w:ascii="Arial" w:hAnsi="Arial" w:cs="Arial"/>
              </w:rPr>
            </w:pPr>
          </w:p>
          <w:p w14:paraId="6F80BEF4" w14:textId="77777777" w:rsidR="00EA29C5" w:rsidRPr="00764CC3" w:rsidRDefault="00EA29C5" w:rsidP="00B564A3">
            <w:pPr>
              <w:tabs>
                <w:tab w:val="left" w:pos="1276"/>
                <w:tab w:val="left" w:pos="4084"/>
              </w:tabs>
              <w:rPr>
                <w:rFonts w:ascii="Arial" w:hAnsi="Arial" w:cs="Arial"/>
                <w:color w:val="212121"/>
              </w:rPr>
            </w:pPr>
            <w:r w:rsidRPr="00764CC3">
              <w:rPr>
                <w:rFonts w:ascii="Arial" w:hAnsi="Arial" w:cs="Arial"/>
              </w:rPr>
              <w:t xml:space="preserve">(ii)  Use of genomic, transcriptomic and metabolomic data to identify new </w:t>
            </w:r>
            <w:r w:rsidRPr="00764CC3">
              <w:rPr>
                <w:rFonts w:ascii="Arial" w:hAnsi="Arial" w:cs="Arial"/>
                <w:color w:val="212121"/>
              </w:rPr>
              <w:t xml:space="preserve">gene variants associated with trait clusters. We have initiated a new quantitative genetics project to identify key molecular drivers of metabolic disease, with a particular focus on genetic factors that are unique to Māori and Pacific populations.  Importantly, for this work we will establish appropriate Māori governance over some legacy datasets (such as </w:t>
            </w:r>
            <w:proofErr w:type="spellStart"/>
            <w:r w:rsidRPr="00764CC3">
              <w:rPr>
                <w:rFonts w:ascii="Arial" w:hAnsi="Arial" w:cs="Arial"/>
                <w:color w:val="212121"/>
              </w:rPr>
              <w:t>GoGDK</w:t>
            </w:r>
            <w:proofErr w:type="spellEnd"/>
            <w:r w:rsidRPr="00764CC3">
              <w:rPr>
                <w:rFonts w:ascii="Arial" w:hAnsi="Arial" w:cs="Arial"/>
                <w:color w:val="212121"/>
              </w:rPr>
              <w:t xml:space="preserve">) and hold and </w:t>
            </w:r>
            <w:proofErr w:type="spellStart"/>
            <w:r w:rsidRPr="00764CC3">
              <w:rPr>
                <w:rFonts w:ascii="Arial" w:hAnsi="Arial" w:cs="Arial"/>
                <w:color w:val="212121"/>
              </w:rPr>
              <w:t>analyse</w:t>
            </w:r>
            <w:proofErr w:type="spellEnd"/>
            <w:r w:rsidRPr="00764CC3">
              <w:rPr>
                <w:rFonts w:ascii="Arial" w:hAnsi="Arial" w:cs="Arial"/>
                <w:color w:val="212121"/>
              </w:rPr>
              <w:t xml:space="preserve"> the datasets in a Māori-governed environment consistent with the principles of indigenous data sovereignty and tikanga Māori, as well </w:t>
            </w:r>
            <w:r w:rsidRPr="00764CC3">
              <w:rPr>
                <w:rFonts w:ascii="Arial" w:hAnsi="Arial" w:cs="Arial"/>
                <w:color w:val="212121"/>
              </w:rPr>
              <w:lastRenderedPageBreak/>
              <w:t xml:space="preserve">as existing ethics consents. These research methods and capabilities will be expanded in a new cross-theme </w:t>
            </w:r>
            <w:proofErr w:type="spellStart"/>
            <w:r w:rsidRPr="00764CC3">
              <w:rPr>
                <w:rFonts w:ascii="Arial" w:hAnsi="Arial" w:cs="Arial"/>
                <w:color w:val="212121"/>
              </w:rPr>
              <w:t>programme</w:t>
            </w:r>
            <w:proofErr w:type="spellEnd"/>
            <w:r w:rsidRPr="00764CC3">
              <w:rPr>
                <w:rFonts w:ascii="Arial" w:hAnsi="Arial" w:cs="Arial"/>
                <w:color w:val="212121"/>
              </w:rPr>
              <w:t xml:space="preserve"> to be developed (see below).  However, the immediate objectives will feed directly into the Metabolic Health theme.</w:t>
            </w:r>
          </w:p>
          <w:p w14:paraId="392A7A5F" w14:textId="77777777" w:rsidR="00EA29C5" w:rsidRPr="00764CC3" w:rsidRDefault="00EA29C5" w:rsidP="00B564A3">
            <w:pPr>
              <w:tabs>
                <w:tab w:val="left" w:pos="1276"/>
                <w:tab w:val="left" w:pos="4084"/>
              </w:tabs>
              <w:rPr>
                <w:rFonts w:ascii="Arial" w:hAnsi="Arial" w:cs="Arial"/>
                <w:color w:val="212121"/>
              </w:rPr>
            </w:pPr>
          </w:p>
          <w:p w14:paraId="2DA55F5C" w14:textId="77777777" w:rsidR="00EA29C5" w:rsidRPr="00764CC3" w:rsidRDefault="00EA29C5" w:rsidP="00B564A3">
            <w:pPr>
              <w:tabs>
                <w:tab w:val="left" w:pos="1276"/>
                <w:tab w:val="left" w:pos="7088"/>
                <w:tab w:val="right" w:pos="9370"/>
              </w:tabs>
              <w:rPr>
                <w:rFonts w:ascii="Arial" w:hAnsi="Arial" w:cs="Arial"/>
                <w:b/>
              </w:rPr>
            </w:pPr>
            <w:r w:rsidRPr="00764CC3">
              <w:rPr>
                <w:rFonts w:ascii="Arial" w:hAnsi="Arial" w:cs="Arial"/>
                <w:b/>
              </w:rPr>
              <w:t>Annual plan milestones</w:t>
            </w:r>
          </w:p>
          <w:p w14:paraId="3C4825E3" w14:textId="77777777" w:rsidR="00EA29C5" w:rsidRPr="00764CC3" w:rsidRDefault="00EA29C5" w:rsidP="00B564A3">
            <w:pPr>
              <w:tabs>
                <w:tab w:val="left" w:pos="1276"/>
                <w:tab w:val="left" w:pos="4084"/>
              </w:tabs>
              <w:rPr>
                <w:rFonts w:ascii="Arial" w:hAnsi="Arial" w:cs="Arial"/>
              </w:rPr>
            </w:pPr>
          </w:p>
          <w:p w14:paraId="36E24AA9"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 xml:space="preserve">2025:  </w:t>
            </w:r>
            <w:r w:rsidRPr="00764CC3">
              <w:rPr>
                <w:rFonts w:ascii="Arial" w:hAnsi="Arial" w:cs="Arial"/>
              </w:rPr>
              <w:tab/>
            </w:r>
          </w:p>
          <w:p w14:paraId="2256FD07" w14:textId="77777777" w:rsidR="00EA29C5" w:rsidRPr="00764CC3" w:rsidRDefault="00EA29C5" w:rsidP="00EA29C5">
            <w:pPr>
              <w:pStyle w:val="ListParagraph"/>
              <w:widowControl/>
              <w:numPr>
                <w:ilvl w:val="0"/>
                <w:numId w:val="14"/>
              </w:numPr>
              <w:tabs>
                <w:tab w:val="left" w:pos="729"/>
                <w:tab w:val="left" w:pos="4084"/>
              </w:tabs>
              <w:autoSpaceDE/>
              <w:autoSpaceDN/>
              <w:contextualSpacing/>
              <w:rPr>
                <w:rFonts w:ascii="Arial" w:hAnsi="Arial" w:cs="Arial"/>
              </w:rPr>
            </w:pPr>
            <w:r w:rsidRPr="00764CC3">
              <w:rPr>
                <w:rFonts w:ascii="Arial" w:hAnsi="Arial" w:cs="Arial"/>
              </w:rPr>
              <w:t>Complete acquisition and storage of multi-</w:t>
            </w:r>
            <w:proofErr w:type="spellStart"/>
            <w:r w:rsidRPr="00764CC3">
              <w:rPr>
                <w:rFonts w:ascii="Arial" w:hAnsi="Arial" w:cs="Arial"/>
              </w:rPr>
              <w:t>omic</w:t>
            </w:r>
            <w:proofErr w:type="spellEnd"/>
            <w:r w:rsidRPr="00764CC3">
              <w:rPr>
                <w:rFonts w:ascii="Arial" w:hAnsi="Arial" w:cs="Arial"/>
              </w:rPr>
              <w:t xml:space="preserve"> data and legacy clinical data from the </w:t>
            </w:r>
            <w:proofErr w:type="spellStart"/>
            <w:r w:rsidRPr="00764CC3">
              <w:rPr>
                <w:rFonts w:ascii="Arial" w:hAnsi="Arial" w:cs="Arial"/>
              </w:rPr>
              <w:t>GoGDK</w:t>
            </w:r>
            <w:proofErr w:type="spellEnd"/>
            <w:r w:rsidRPr="00764CC3">
              <w:rPr>
                <w:rFonts w:ascii="Arial" w:hAnsi="Arial" w:cs="Arial"/>
              </w:rPr>
              <w:t xml:space="preserve"> cohort, in an appropriately Māori governed environment, including transfer of existing ethics consents</w:t>
            </w:r>
          </w:p>
          <w:p w14:paraId="7E35C1E4" w14:textId="77777777" w:rsidR="00EA29C5" w:rsidRPr="00764CC3" w:rsidRDefault="00EA29C5" w:rsidP="00B564A3">
            <w:pPr>
              <w:tabs>
                <w:tab w:val="left" w:pos="729"/>
                <w:tab w:val="left" w:pos="4084"/>
              </w:tabs>
              <w:rPr>
                <w:rFonts w:ascii="Arial" w:hAnsi="Arial" w:cs="Arial"/>
              </w:rPr>
            </w:pPr>
          </w:p>
          <w:p w14:paraId="6F5C4B8D"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 xml:space="preserve">2026: </w:t>
            </w:r>
            <w:r w:rsidRPr="00764CC3">
              <w:rPr>
                <w:rFonts w:ascii="Arial" w:hAnsi="Arial" w:cs="Arial"/>
              </w:rPr>
              <w:tab/>
            </w:r>
          </w:p>
          <w:p w14:paraId="42CB46A6" w14:textId="77777777" w:rsidR="00EA29C5" w:rsidRPr="00764CC3" w:rsidRDefault="00EA29C5" w:rsidP="00EA29C5">
            <w:pPr>
              <w:pStyle w:val="ListParagraph"/>
              <w:widowControl/>
              <w:numPr>
                <w:ilvl w:val="0"/>
                <w:numId w:val="14"/>
              </w:numPr>
              <w:tabs>
                <w:tab w:val="left" w:pos="729"/>
                <w:tab w:val="left" w:pos="4084"/>
              </w:tabs>
              <w:autoSpaceDE/>
              <w:autoSpaceDN/>
              <w:contextualSpacing/>
              <w:rPr>
                <w:rFonts w:ascii="Arial" w:hAnsi="Arial" w:cs="Arial"/>
              </w:rPr>
            </w:pPr>
            <w:r w:rsidRPr="00764CC3">
              <w:rPr>
                <w:rFonts w:ascii="Arial" w:hAnsi="Arial" w:cs="Arial"/>
              </w:rPr>
              <w:t xml:space="preserve">Complete genetic parameter (heritability and inter-trait correlations) and genome wide genetic risk/resilience estimation (i.e., GBLUP and PRS) in an appropriately Māori governed analytical platform (i.e., the recently developed the </w:t>
            </w:r>
            <w:proofErr w:type="spellStart"/>
            <w:r w:rsidRPr="00764CC3">
              <w:rPr>
                <w:rFonts w:ascii="Arial" w:hAnsi="Arial" w:cs="Arial"/>
              </w:rPr>
              <w:t>Rakeiora</w:t>
            </w:r>
            <w:proofErr w:type="spellEnd"/>
            <w:r w:rsidRPr="00764CC3">
              <w:rPr>
                <w:rFonts w:ascii="Arial" w:hAnsi="Arial" w:cs="Arial"/>
              </w:rPr>
              <w:t xml:space="preserve"> platform)</w:t>
            </w:r>
          </w:p>
          <w:p w14:paraId="0B6233D6" w14:textId="77777777" w:rsidR="00EA29C5" w:rsidRPr="00764CC3" w:rsidRDefault="00EA29C5" w:rsidP="00B564A3">
            <w:pPr>
              <w:tabs>
                <w:tab w:val="left" w:pos="729"/>
                <w:tab w:val="left" w:pos="4084"/>
              </w:tabs>
              <w:ind w:left="729" w:hanging="729"/>
              <w:rPr>
                <w:rFonts w:ascii="Arial" w:hAnsi="Arial" w:cs="Arial"/>
              </w:rPr>
            </w:pPr>
          </w:p>
          <w:p w14:paraId="516B50F0" w14:textId="77777777" w:rsidR="00EA29C5" w:rsidRPr="00764CC3" w:rsidRDefault="00EA29C5" w:rsidP="00EA29C5">
            <w:pPr>
              <w:pStyle w:val="ListParagraph"/>
              <w:widowControl/>
              <w:numPr>
                <w:ilvl w:val="0"/>
                <w:numId w:val="14"/>
              </w:numPr>
              <w:tabs>
                <w:tab w:val="left" w:pos="729"/>
                <w:tab w:val="left" w:pos="4084"/>
              </w:tabs>
              <w:autoSpaceDE/>
              <w:autoSpaceDN/>
              <w:contextualSpacing/>
              <w:rPr>
                <w:rFonts w:ascii="Arial" w:hAnsi="Arial" w:cs="Arial"/>
              </w:rPr>
            </w:pPr>
            <w:r w:rsidRPr="00764CC3">
              <w:rPr>
                <w:rFonts w:ascii="Arial" w:hAnsi="Arial" w:cs="Arial"/>
              </w:rPr>
              <w:t>Identify novel genetic variants (with associated trait information) relevant for metabolic health that could feed into functional studies</w:t>
            </w:r>
          </w:p>
          <w:p w14:paraId="1D0CE9DF" w14:textId="77777777" w:rsidR="00EA29C5" w:rsidRPr="00764CC3" w:rsidRDefault="00EA29C5" w:rsidP="00B564A3">
            <w:pPr>
              <w:tabs>
                <w:tab w:val="left" w:pos="1276"/>
                <w:tab w:val="left" w:pos="4084"/>
              </w:tabs>
              <w:rPr>
                <w:rFonts w:ascii="Arial" w:hAnsi="Arial" w:cs="Arial"/>
                <w:u w:val="single"/>
              </w:rPr>
            </w:pPr>
          </w:p>
          <w:p w14:paraId="1374CBF5" w14:textId="77777777" w:rsidR="00EA29C5" w:rsidRPr="00764CC3" w:rsidRDefault="00EA29C5" w:rsidP="00B564A3">
            <w:pPr>
              <w:tabs>
                <w:tab w:val="left" w:pos="1276"/>
                <w:tab w:val="left" w:pos="4084"/>
              </w:tabs>
              <w:rPr>
                <w:rFonts w:ascii="Arial" w:hAnsi="Arial" w:cs="Arial"/>
              </w:rPr>
            </w:pPr>
            <w:r w:rsidRPr="00764CC3">
              <w:rPr>
                <w:rFonts w:ascii="Arial" w:hAnsi="Arial" w:cs="Arial"/>
                <w:u w:val="single"/>
              </w:rPr>
              <w:t>(iii) Understanding Impacts of Genetic Variants on Metabolic Disease:</w:t>
            </w:r>
            <w:r w:rsidRPr="00764CC3">
              <w:rPr>
                <w:rFonts w:ascii="Arial" w:hAnsi="Arial" w:cs="Arial"/>
              </w:rPr>
              <w:t xml:space="preserve"> Studies have been undertaken to further validate the impact of gene variants initially found to be associated with metabolic disease risk in the MWC association studies and to define those likely to have the most impact on development of metabolic disease or on treatments for these diseases. For example, in depth studies have been performed to investigate the function of variants in CALCRL, SLC22A3, G6PC2, JAZF1, HK2, INSL5, CREBRF, CoQ6 and MTC variants (and 2 knock-in mouse models have been created to establish animal models for variants in CREBRF and SLC22A3). The aim of these studies has been to inform preventative or therapeutic strategies for metabolic disease that may have specific relevance to Māori and Pacific Peoples and has involved multidisciplinary biomedical approaches to study key processes regulating metabolism. To </w:t>
            </w:r>
            <w:proofErr w:type="spellStart"/>
            <w:r w:rsidRPr="00764CC3">
              <w:rPr>
                <w:rFonts w:ascii="Arial" w:hAnsi="Arial" w:cs="Arial"/>
              </w:rPr>
              <w:t>maximise</w:t>
            </w:r>
            <w:proofErr w:type="spellEnd"/>
            <w:r w:rsidRPr="00764CC3">
              <w:rPr>
                <w:rFonts w:ascii="Arial" w:hAnsi="Arial" w:cs="Arial"/>
              </w:rPr>
              <w:t xml:space="preserve"> efficiency of this process the MWC has supported the development of a pipeline approach that harnesses key capabilities found within the Centre including molecular biology, biochemistry, cell biology, cell models, physiology, animal models and other relevant approaches. The key next step is to review progress on the different variants to date and identify those that are the most important to progress.  The best strategy will be to focus on a few variants and try to take these studies through to a level of understanding that will provide clinically actionable endpoints.</w:t>
            </w:r>
          </w:p>
          <w:p w14:paraId="02C13579" w14:textId="77777777" w:rsidR="00EA29C5" w:rsidRPr="00764CC3" w:rsidRDefault="00EA29C5" w:rsidP="00B564A3">
            <w:pPr>
              <w:tabs>
                <w:tab w:val="left" w:pos="1276"/>
                <w:tab w:val="left" w:pos="4084"/>
              </w:tabs>
              <w:rPr>
                <w:rFonts w:ascii="Arial" w:hAnsi="Arial" w:cs="Arial"/>
              </w:rPr>
            </w:pPr>
          </w:p>
          <w:p w14:paraId="492D10AA" w14:textId="77777777" w:rsidR="00EA29C5" w:rsidRPr="00764CC3" w:rsidRDefault="00EA29C5" w:rsidP="00B564A3">
            <w:pPr>
              <w:tabs>
                <w:tab w:val="left" w:pos="1276"/>
                <w:tab w:val="left" w:pos="7088"/>
                <w:tab w:val="right" w:pos="9370"/>
              </w:tabs>
              <w:rPr>
                <w:rFonts w:ascii="Arial" w:hAnsi="Arial" w:cs="Arial"/>
                <w:b/>
              </w:rPr>
            </w:pPr>
            <w:r w:rsidRPr="00764CC3">
              <w:rPr>
                <w:rFonts w:ascii="Arial" w:hAnsi="Arial" w:cs="Arial"/>
                <w:b/>
              </w:rPr>
              <w:t>Annual plan milestones</w:t>
            </w:r>
          </w:p>
          <w:p w14:paraId="60E51BF4" w14:textId="77777777" w:rsidR="00EA29C5" w:rsidRPr="00764CC3" w:rsidRDefault="00EA29C5" w:rsidP="00B564A3">
            <w:pPr>
              <w:tabs>
                <w:tab w:val="left" w:pos="1276"/>
                <w:tab w:val="left" w:pos="4084"/>
              </w:tabs>
              <w:rPr>
                <w:rFonts w:ascii="Arial" w:hAnsi="Arial" w:cs="Arial"/>
              </w:rPr>
            </w:pPr>
          </w:p>
          <w:p w14:paraId="506E5A73"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2025:</w:t>
            </w:r>
            <w:r w:rsidRPr="00764CC3">
              <w:rPr>
                <w:rFonts w:ascii="Arial" w:hAnsi="Arial" w:cs="Arial"/>
              </w:rPr>
              <w:tab/>
            </w:r>
          </w:p>
          <w:p w14:paraId="3490BC74" w14:textId="77777777" w:rsidR="00EA29C5" w:rsidRPr="00764CC3" w:rsidRDefault="00EA29C5" w:rsidP="00EA29C5">
            <w:pPr>
              <w:pStyle w:val="ListParagraph"/>
              <w:widowControl/>
              <w:numPr>
                <w:ilvl w:val="0"/>
                <w:numId w:val="15"/>
              </w:numPr>
              <w:tabs>
                <w:tab w:val="left" w:pos="729"/>
                <w:tab w:val="left" w:pos="4084"/>
              </w:tabs>
              <w:autoSpaceDE/>
              <w:autoSpaceDN/>
              <w:contextualSpacing/>
              <w:rPr>
                <w:rFonts w:ascii="Arial" w:hAnsi="Arial" w:cs="Arial"/>
              </w:rPr>
            </w:pPr>
            <w:r w:rsidRPr="00764CC3">
              <w:rPr>
                <w:rFonts w:ascii="Arial" w:hAnsi="Arial" w:cs="Arial"/>
              </w:rPr>
              <w:t>Have reviewed the outcomes of the previously funded studies and identified a limited number for further support based on having high potential to inform precision medicine strategies</w:t>
            </w:r>
          </w:p>
          <w:p w14:paraId="2F9A7D57" w14:textId="77777777" w:rsidR="00EA29C5" w:rsidRPr="00764CC3" w:rsidRDefault="00EA29C5" w:rsidP="00B564A3">
            <w:pPr>
              <w:tabs>
                <w:tab w:val="left" w:pos="729"/>
                <w:tab w:val="left" w:pos="4084"/>
              </w:tabs>
              <w:ind w:left="729" w:hanging="729"/>
              <w:rPr>
                <w:rFonts w:ascii="Arial" w:hAnsi="Arial" w:cs="Arial"/>
              </w:rPr>
            </w:pPr>
          </w:p>
          <w:p w14:paraId="54C74C38"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2026:</w:t>
            </w:r>
            <w:r w:rsidRPr="00764CC3">
              <w:rPr>
                <w:rFonts w:ascii="Arial" w:hAnsi="Arial" w:cs="Arial"/>
              </w:rPr>
              <w:tab/>
            </w:r>
          </w:p>
          <w:p w14:paraId="7CC3E378" w14:textId="77777777" w:rsidR="00EA29C5" w:rsidRPr="00764CC3" w:rsidRDefault="00EA29C5" w:rsidP="00EA29C5">
            <w:pPr>
              <w:pStyle w:val="ListParagraph"/>
              <w:widowControl/>
              <w:numPr>
                <w:ilvl w:val="0"/>
                <w:numId w:val="15"/>
              </w:numPr>
              <w:tabs>
                <w:tab w:val="left" w:pos="729"/>
                <w:tab w:val="left" w:pos="4084"/>
              </w:tabs>
              <w:autoSpaceDE/>
              <w:autoSpaceDN/>
              <w:contextualSpacing/>
              <w:rPr>
                <w:rFonts w:ascii="Arial" w:hAnsi="Arial" w:cs="Arial"/>
              </w:rPr>
            </w:pPr>
            <w:r w:rsidRPr="00764CC3">
              <w:rPr>
                <w:rFonts w:ascii="Arial" w:hAnsi="Arial" w:cs="Arial"/>
              </w:rPr>
              <w:t>Develop further functional studies on the selected variants for the initial cohort of work</w:t>
            </w:r>
          </w:p>
          <w:p w14:paraId="01FA7EB7" w14:textId="77777777" w:rsidR="00EA29C5" w:rsidRPr="00764CC3" w:rsidRDefault="00EA29C5" w:rsidP="00B564A3">
            <w:pPr>
              <w:tabs>
                <w:tab w:val="left" w:pos="729"/>
                <w:tab w:val="left" w:pos="4084"/>
              </w:tabs>
              <w:ind w:left="729" w:hanging="729"/>
              <w:rPr>
                <w:rFonts w:ascii="Arial" w:hAnsi="Arial" w:cs="Arial"/>
              </w:rPr>
            </w:pPr>
          </w:p>
          <w:p w14:paraId="01DBD95F" w14:textId="77777777" w:rsidR="00EA29C5" w:rsidRPr="00764CC3" w:rsidRDefault="00EA29C5" w:rsidP="00EA29C5">
            <w:pPr>
              <w:pStyle w:val="ListParagraph"/>
              <w:widowControl/>
              <w:numPr>
                <w:ilvl w:val="0"/>
                <w:numId w:val="15"/>
              </w:numPr>
              <w:tabs>
                <w:tab w:val="left" w:pos="729"/>
                <w:tab w:val="left" w:pos="4084"/>
              </w:tabs>
              <w:autoSpaceDE/>
              <w:autoSpaceDN/>
              <w:contextualSpacing/>
              <w:rPr>
                <w:rFonts w:ascii="Arial" w:hAnsi="Arial" w:cs="Arial"/>
              </w:rPr>
            </w:pPr>
            <w:r w:rsidRPr="00764CC3">
              <w:rPr>
                <w:rFonts w:ascii="Arial" w:hAnsi="Arial" w:cs="Arial"/>
              </w:rPr>
              <w:t>Use final analysis of data from phenotyping identify new variants that have strong potential to inform precision medicine and begin functional studies of these.</w:t>
            </w:r>
          </w:p>
          <w:p w14:paraId="6A2ECF67" w14:textId="77777777" w:rsidR="00EA29C5" w:rsidRPr="00764CC3" w:rsidRDefault="00EA29C5" w:rsidP="00B564A3">
            <w:pPr>
              <w:tabs>
                <w:tab w:val="left" w:pos="729"/>
                <w:tab w:val="left" w:pos="4084"/>
              </w:tabs>
              <w:ind w:left="729" w:hanging="729"/>
              <w:rPr>
                <w:rFonts w:ascii="Arial" w:hAnsi="Arial" w:cs="Arial"/>
              </w:rPr>
            </w:pPr>
          </w:p>
          <w:p w14:paraId="20D7949B" w14:textId="77777777" w:rsidR="00EA29C5" w:rsidRPr="00764CC3" w:rsidRDefault="00EA29C5" w:rsidP="00EA29C5">
            <w:pPr>
              <w:pStyle w:val="ListParagraph"/>
              <w:widowControl/>
              <w:numPr>
                <w:ilvl w:val="0"/>
                <w:numId w:val="15"/>
              </w:numPr>
              <w:tabs>
                <w:tab w:val="left" w:pos="729"/>
                <w:tab w:val="left" w:pos="4084"/>
              </w:tabs>
              <w:autoSpaceDE/>
              <w:autoSpaceDN/>
              <w:contextualSpacing/>
              <w:rPr>
                <w:rFonts w:ascii="Arial" w:hAnsi="Arial" w:cs="Arial"/>
              </w:rPr>
            </w:pPr>
            <w:r w:rsidRPr="00764CC3">
              <w:rPr>
                <w:rFonts w:ascii="Arial" w:hAnsi="Arial" w:cs="Arial"/>
              </w:rPr>
              <w:t>Determine whether additional new variants have been identified from new multi-</w:t>
            </w:r>
            <w:proofErr w:type="spellStart"/>
            <w:r w:rsidRPr="00764CC3">
              <w:rPr>
                <w:rFonts w:ascii="Arial" w:hAnsi="Arial" w:cs="Arial"/>
              </w:rPr>
              <w:t>omic</w:t>
            </w:r>
            <w:proofErr w:type="spellEnd"/>
            <w:r w:rsidRPr="00764CC3">
              <w:rPr>
                <w:rFonts w:ascii="Arial" w:hAnsi="Arial" w:cs="Arial"/>
              </w:rPr>
              <w:t xml:space="preserve"> studies that would be informed by additional functional studies</w:t>
            </w:r>
          </w:p>
          <w:p w14:paraId="096CC99D" w14:textId="77777777" w:rsidR="00EA29C5" w:rsidRPr="00764CC3" w:rsidRDefault="00EA29C5" w:rsidP="00B564A3">
            <w:pPr>
              <w:tabs>
                <w:tab w:val="left" w:pos="729"/>
                <w:tab w:val="left" w:pos="4084"/>
              </w:tabs>
              <w:rPr>
                <w:rFonts w:ascii="Arial" w:hAnsi="Arial" w:cs="Arial"/>
              </w:rPr>
            </w:pPr>
          </w:p>
          <w:p w14:paraId="2D7F5491"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2027:</w:t>
            </w:r>
            <w:r w:rsidRPr="00764CC3">
              <w:rPr>
                <w:rFonts w:ascii="Arial" w:hAnsi="Arial" w:cs="Arial"/>
              </w:rPr>
              <w:tab/>
            </w:r>
          </w:p>
          <w:p w14:paraId="08DC11ED" w14:textId="77777777" w:rsidR="00EA29C5" w:rsidRPr="00764CC3" w:rsidRDefault="00EA29C5" w:rsidP="00EA29C5">
            <w:pPr>
              <w:pStyle w:val="ListParagraph"/>
              <w:widowControl/>
              <w:numPr>
                <w:ilvl w:val="0"/>
                <w:numId w:val="16"/>
              </w:numPr>
              <w:tabs>
                <w:tab w:val="left" w:pos="729"/>
                <w:tab w:val="left" w:pos="4084"/>
              </w:tabs>
              <w:autoSpaceDE/>
              <w:autoSpaceDN/>
              <w:contextualSpacing/>
              <w:rPr>
                <w:rFonts w:ascii="Arial" w:hAnsi="Arial" w:cs="Arial"/>
              </w:rPr>
            </w:pPr>
            <w:r w:rsidRPr="00764CC3">
              <w:rPr>
                <w:rFonts w:ascii="Arial" w:hAnsi="Arial" w:cs="Arial"/>
              </w:rPr>
              <w:t>Continue functional studies of gene variants selected for study</w:t>
            </w:r>
          </w:p>
          <w:p w14:paraId="7DA85D01" w14:textId="77777777" w:rsidR="00EA29C5" w:rsidRPr="00764CC3" w:rsidRDefault="00EA29C5" w:rsidP="00B564A3">
            <w:pPr>
              <w:tabs>
                <w:tab w:val="left" w:pos="729"/>
                <w:tab w:val="left" w:pos="4084"/>
              </w:tabs>
              <w:ind w:left="729" w:hanging="729"/>
              <w:rPr>
                <w:rFonts w:ascii="Arial" w:hAnsi="Arial" w:cs="Arial"/>
              </w:rPr>
            </w:pPr>
          </w:p>
          <w:p w14:paraId="3F04DA23" w14:textId="77777777" w:rsidR="00EA29C5" w:rsidRPr="00764CC3" w:rsidRDefault="00EA29C5" w:rsidP="00B564A3">
            <w:pPr>
              <w:tabs>
                <w:tab w:val="left" w:pos="729"/>
                <w:tab w:val="left" w:pos="4084"/>
              </w:tabs>
              <w:ind w:left="729" w:hanging="729"/>
              <w:rPr>
                <w:rFonts w:ascii="Arial" w:hAnsi="Arial" w:cs="Arial"/>
              </w:rPr>
            </w:pPr>
            <w:r w:rsidRPr="00764CC3">
              <w:rPr>
                <w:rFonts w:ascii="Arial" w:hAnsi="Arial" w:cs="Arial"/>
              </w:rPr>
              <w:t>2028:</w:t>
            </w:r>
            <w:r w:rsidRPr="00764CC3">
              <w:rPr>
                <w:rFonts w:ascii="Arial" w:hAnsi="Arial" w:cs="Arial"/>
              </w:rPr>
              <w:tab/>
            </w:r>
          </w:p>
          <w:p w14:paraId="38314469" w14:textId="77777777" w:rsidR="00EA29C5" w:rsidRPr="00764CC3" w:rsidRDefault="00EA29C5" w:rsidP="00EA29C5">
            <w:pPr>
              <w:pStyle w:val="ListParagraph"/>
              <w:widowControl/>
              <w:numPr>
                <w:ilvl w:val="0"/>
                <w:numId w:val="16"/>
              </w:numPr>
              <w:tabs>
                <w:tab w:val="left" w:pos="1276"/>
                <w:tab w:val="left" w:pos="4084"/>
              </w:tabs>
              <w:autoSpaceDE/>
              <w:autoSpaceDN/>
              <w:rPr>
                <w:rFonts w:ascii="Arial" w:hAnsi="Arial" w:cs="Arial"/>
                <w:color w:val="808080"/>
              </w:rPr>
            </w:pPr>
            <w:r w:rsidRPr="00764CC3">
              <w:rPr>
                <w:rFonts w:ascii="Arial" w:hAnsi="Arial" w:cs="Arial"/>
              </w:rPr>
              <w:t>Complete functional studies of genetic variants selected for study</w:t>
            </w:r>
          </w:p>
          <w:p w14:paraId="551A45DD" w14:textId="77777777" w:rsidR="00EA29C5" w:rsidRPr="00764CC3" w:rsidRDefault="00EA29C5" w:rsidP="00B564A3">
            <w:pPr>
              <w:pStyle w:val="ListParagraph"/>
              <w:tabs>
                <w:tab w:val="left" w:pos="1276"/>
                <w:tab w:val="left" w:pos="4084"/>
              </w:tabs>
              <w:spacing w:before="120"/>
              <w:rPr>
                <w:rFonts w:ascii="Arial" w:hAnsi="Arial" w:cs="Arial"/>
                <w:color w:val="808080"/>
              </w:rPr>
            </w:pPr>
          </w:p>
        </w:tc>
      </w:tr>
      <w:tr w:rsidR="00EA29C5" w14:paraId="1ECC5286" w14:textId="77777777" w:rsidTr="00B564A3">
        <w:trPr>
          <w:trHeight w:val="465"/>
          <w:jc w:val="center"/>
        </w:trPr>
        <w:tc>
          <w:tcPr>
            <w:tcW w:w="10078" w:type="dxa"/>
            <w:tcBorders>
              <w:bottom w:val="nil"/>
            </w:tcBorders>
            <w:shd w:val="clear" w:color="auto" w:fill="FFFFFF" w:themeFill="background1"/>
          </w:tcPr>
          <w:p w14:paraId="7DFAEFBE" w14:textId="77777777" w:rsidR="00EA29C5" w:rsidRPr="00356B93" w:rsidRDefault="00EA29C5" w:rsidP="00B564A3">
            <w:pPr>
              <w:pStyle w:val="Heading2"/>
              <w:rPr>
                <w:sz w:val="28"/>
                <w:szCs w:val="28"/>
                <w:lang w:val="en-US"/>
              </w:rPr>
            </w:pPr>
            <w:bookmarkStart w:id="8" w:name="_Toc72252038"/>
            <w:r w:rsidRPr="7147AD22">
              <w:rPr>
                <w:sz w:val="28"/>
                <w:szCs w:val="28"/>
                <w:lang w:val="en-US"/>
              </w:rPr>
              <w:lastRenderedPageBreak/>
              <w:t xml:space="preserve">Research </w:t>
            </w:r>
            <w:proofErr w:type="spellStart"/>
            <w:r w:rsidRPr="7147AD22">
              <w:rPr>
                <w:sz w:val="28"/>
                <w:szCs w:val="28"/>
                <w:lang w:val="en-US"/>
              </w:rPr>
              <w:t>Programme</w:t>
            </w:r>
            <w:proofErr w:type="spellEnd"/>
            <w:r w:rsidRPr="7147AD22">
              <w:rPr>
                <w:sz w:val="28"/>
                <w:szCs w:val="28"/>
                <w:lang w:val="en-US"/>
              </w:rPr>
              <w:t xml:space="preserve"> 2:  Developing targeted clinical studies to apply knowledge from genetic and functional studies to improve health outcomes for Māori and Pacific Peoples.</w:t>
            </w:r>
            <w:bookmarkEnd w:id="8"/>
          </w:p>
        </w:tc>
      </w:tr>
      <w:tr w:rsidR="00EA29C5" w14:paraId="33BD1021" w14:textId="77777777" w:rsidTr="00B564A3">
        <w:trPr>
          <w:trHeight w:val="645"/>
          <w:jc w:val="center"/>
        </w:trPr>
        <w:tc>
          <w:tcPr>
            <w:tcW w:w="10078" w:type="dxa"/>
            <w:tcBorders>
              <w:top w:val="nil"/>
              <w:bottom w:val="single" w:sz="4" w:space="0" w:color="000000" w:themeColor="text1"/>
            </w:tcBorders>
          </w:tcPr>
          <w:p w14:paraId="1F8693F5"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 xml:space="preserve">We have been conducting pharmacogenomic studies involving evaluation of clinical records and other relevant approaches to understand the clinical efficacy in Māori and Pacific Peoples of modern medicines used to treat metabolic disease, with a specific focus on understanding how unique genetic factors might modulate this efficacy.  We will continue to evaluate the new genetic variants that are identified as part of </w:t>
            </w:r>
            <w:proofErr w:type="spellStart"/>
            <w:r w:rsidRPr="00356B93">
              <w:rPr>
                <w:rFonts w:ascii="Arial" w:hAnsi="Arial" w:cs="Arial"/>
              </w:rPr>
              <w:t>programme</w:t>
            </w:r>
            <w:proofErr w:type="spellEnd"/>
            <w:r w:rsidRPr="00356B93">
              <w:rPr>
                <w:rFonts w:ascii="Arial" w:hAnsi="Arial" w:cs="Arial"/>
              </w:rPr>
              <w:t xml:space="preserve"> 1 and develop clinical studies to determine how this novel genetic and functional information could be translated into better or more targeted treatment options.  This program builds on the idea that advancing our fundamental understanding of biology will inform precision medicine strategies, and for Māori and Pacific peoples to gain benefits from these strategies, we need to build on understanding of the unique genetic architecture of these peoples.</w:t>
            </w:r>
          </w:p>
          <w:p w14:paraId="08E6D71A" w14:textId="77777777" w:rsidR="00EA29C5" w:rsidRPr="00356B93" w:rsidRDefault="00EA29C5" w:rsidP="00B564A3">
            <w:pPr>
              <w:tabs>
                <w:tab w:val="left" w:pos="1276"/>
                <w:tab w:val="left" w:pos="7088"/>
                <w:tab w:val="right" w:pos="9370"/>
              </w:tabs>
              <w:rPr>
                <w:rFonts w:ascii="Arial" w:hAnsi="Arial" w:cs="Arial"/>
              </w:rPr>
            </w:pPr>
          </w:p>
          <w:p w14:paraId="1AD6C3A9" w14:textId="77777777" w:rsidR="00EA29C5" w:rsidRPr="00356B93" w:rsidRDefault="00EA29C5" w:rsidP="00B564A3">
            <w:pPr>
              <w:tabs>
                <w:tab w:val="left" w:pos="1276"/>
                <w:tab w:val="left" w:pos="7088"/>
                <w:tab w:val="right" w:pos="9370"/>
              </w:tabs>
              <w:rPr>
                <w:rFonts w:ascii="Arial" w:hAnsi="Arial" w:cs="Arial"/>
              </w:rPr>
            </w:pPr>
          </w:p>
          <w:p w14:paraId="3C1CDB40"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Annual plan milestones</w:t>
            </w:r>
          </w:p>
          <w:p w14:paraId="3A13EA36" w14:textId="77777777" w:rsidR="00EA29C5" w:rsidRPr="00356B93" w:rsidRDefault="00EA29C5" w:rsidP="00B564A3">
            <w:pPr>
              <w:tabs>
                <w:tab w:val="left" w:pos="1276"/>
                <w:tab w:val="left" w:pos="7088"/>
                <w:tab w:val="right" w:pos="9370"/>
              </w:tabs>
              <w:rPr>
                <w:rFonts w:ascii="Arial" w:hAnsi="Arial" w:cs="Arial"/>
              </w:rPr>
            </w:pPr>
          </w:p>
          <w:p w14:paraId="290CE9CB"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2025:</w:t>
            </w:r>
            <w:r w:rsidRPr="00356B93">
              <w:rPr>
                <w:rFonts w:ascii="Arial" w:hAnsi="Arial" w:cs="Arial"/>
              </w:rPr>
              <w:tab/>
            </w:r>
          </w:p>
          <w:p w14:paraId="6F71D1DB" w14:textId="77777777" w:rsidR="00EA29C5" w:rsidRPr="00356B93" w:rsidRDefault="00EA29C5" w:rsidP="00EA29C5">
            <w:pPr>
              <w:pStyle w:val="ListParagraph"/>
              <w:widowControl/>
              <w:numPr>
                <w:ilvl w:val="0"/>
                <w:numId w:val="16"/>
              </w:numPr>
              <w:tabs>
                <w:tab w:val="left" w:pos="1276"/>
                <w:tab w:val="left" w:pos="7088"/>
                <w:tab w:val="right" w:pos="9370"/>
              </w:tabs>
              <w:autoSpaceDE/>
              <w:autoSpaceDN/>
              <w:rPr>
                <w:rFonts w:ascii="Arial" w:hAnsi="Arial" w:cs="Arial"/>
              </w:rPr>
            </w:pPr>
            <w:r w:rsidRPr="00356B93">
              <w:rPr>
                <w:rFonts w:ascii="Arial" w:hAnsi="Arial" w:cs="Arial"/>
              </w:rPr>
              <w:t xml:space="preserve">Complete initial </w:t>
            </w:r>
            <w:proofErr w:type="spellStart"/>
            <w:r w:rsidRPr="00356B93">
              <w:rPr>
                <w:rFonts w:ascii="Arial" w:hAnsi="Arial" w:cs="Arial"/>
              </w:rPr>
              <w:t>pharmocogenomic</w:t>
            </w:r>
            <w:proofErr w:type="spellEnd"/>
            <w:r w:rsidRPr="00356B93">
              <w:rPr>
                <w:rFonts w:ascii="Arial" w:hAnsi="Arial" w:cs="Arial"/>
              </w:rPr>
              <w:t xml:space="preserve"> studies started in 2021-2024</w:t>
            </w:r>
          </w:p>
          <w:p w14:paraId="7C8CB8D7" w14:textId="77777777" w:rsidR="00EA29C5" w:rsidRPr="00356B93" w:rsidRDefault="00EA29C5" w:rsidP="00B564A3">
            <w:pPr>
              <w:tabs>
                <w:tab w:val="left" w:pos="1276"/>
                <w:tab w:val="left" w:pos="7088"/>
                <w:tab w:val="right" w:pos="9370"/>
              </w:tabs>
              <w:rPr>
                <w:rFonts w:ascii="Arial" w:hAnsi="Arial" w:cs="Arial"/>
              </w:rPr>
            </w:pPr>
          </w:p>
          <w:p w14:paraId="3D9BFABB"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2026:</w:t>
            </w:r>
            <w:r w:rsidRPr="00356B93">
              <w:rPr>
                <w:rFonts w:ascii="Arial" w:hAnsi="Arial" w:cs="Arial"/>
              </w:rPr>
              <w:tab/>
            </w:r>
          </w:p>
          <w:p w14:paraId="23EE9DB2" w14:textId="77777777" w:rsidR="00EA29C5" w:rsidRPr="00356B93" w:rsidRDefault="00EA29C5" w:rsidP="00EA29C5">
            <w:pPr>
              <w:pStyle w:val="ListParagraph"/>
              <w:widowControl/>
              <w:numPr>
                <w:ilvl w:val="0"/>
                <w:numId w:val="16"/>
              </w:numPr>
              <w:tabs>
                <w:tab w:val="left" w:pos="1276"/>
                <w:tab w:val="left" w:pos="7088"/>
                <w:tab w:val="right" w:pos="9370"/>
              </w:tabs>
              <w:autoSpaceDE/>
              <w:autoSpaceDN/>
              <w:rPr>
                <w:rFonts w:ascii="Arial" w:hAnsi="Arial" w:cs="Arial"/>
              </w:rPr>
            </w:pPr>
            <w:r w:rsidRPr="00356B93">
              <w:rPr>
                <w:rFonts w:ascii="Arial" w:hAnsi="Arial" w:cs="Arial"/>
              </w:rPr>
              <w:t>Use final analysis of data from phenotyping, genomic studies and from previous functional studies to identify new variants that have strong potential to inform precision medicine and to develop a clinical study to investigate the impact of these on diagnosis or treatment of metabolic disease</w:t>
            </w:r>
          </w:p>
          <w:p w14:paraId="14246D44" w14:textId="77777777" w:rsidR="00EA29C5" w:rsidRPr="00356B93" w:rsidRDefault="00EA29C5" w:rsidP="00B564A3">
            <w:pPr>
              <w:tabs>
                <w:tab w:val="left" w:pos="1276"/>
                <w:tab w:val="left" w:pos="7088"/>
                <w:tab w:val="right" w:pos="9370"/>
              </w:tabs>
              <w:rPr>
                <w:rFonts w:ascii="Arial" w:hAnsi="Arial" w:cs="Arial"/>
              </w:rPr>
            </w:pPr>
          </w:p>
          <w:p w14:paraId="548074A3"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2027:</w:t>
            </w:r>
            <w:r w:rsidRPr="00356B93">
              <w:rPr>
                <w:rFonts w:ascii="Arial" w:hAnsi="Arial" w:cs="Arial"/>
              </w:rPr>
              <w:tab/>
            </w:r>
          </w:p>
          <w:p w14:paraId="5F076E20" w14:textId="77777777" w:rsidR="00EA29C5" w:rsidRPr="00356B93" w:rsidRDefault="00EA29C5" w:rsidP="00EA29C5">
            <w:pPr>
              <w:pStyle w:val="ListParagraph"/>
              <w:widowControl/>
              <w:numPr>
                <w:ilvl w:val="0"/>
                <w:numId w:val="16"/>
              </w:numPr>
              <w:tabs>
                <w:tab w:val="left" w:pos="1276"/>
                <w:tab w:val="left" w:pos="7088"/>
                <w:tab w:val="right" w:pos="9370"/>
              </w:tabs>
              <w:autoSpaceDE/>
              <w:autoSpaceDN/>
              <w:rPr>
                <w:rFonts w:ascii="Arial" w:hAnsi="Arial" w:cs="Arial"/>
              </w:rPr>
            </w:pPr>
            <w:r w:rsidRPr="00356B93">
              <w:rPr>
                <w:rFonts w:ascii="Arial" w:hAnsi="Arial" w:cs="Arial"/>
              </w:rPr>
              <w:t>Continue clinical precision medicine study started in year 2</w:t>
            </w:r>
          </w:p>
          <w:p w14:paraId="3B18A475" w14:textId="77777777" w:rsidR="00EA29C5" w:rsidRPr="00356B93" w:rsidRDefault="00EA29C5" w:rsidP="00B564A3">
            <w:pPr>
              <w:tabs>
                <w:tab w:val="left" w:pos="1276"/>
                <w:tab w:val="left" w:pos="7088"/>
                <w:tab w:val="right" w:pos="9370"/>
              </w:tabs>
              <w:rPr>
                <w:rFonts w:ascii="Arial" w:hAnsi="Arial" w:cs="Arial"/>
              </w:rPr>
            </w:pPr>
          </w:p>
          <w:p w14:paraId="3B69E662" w14:textId="77777777" w:rsidR="00EA29C5" w:rsidRPr="00356B93" w:rsidRDefault="00EA29C5" w:rsidP="00B564A3">
            <w:pPr>
              <w:tabs>
                <w:tab w:val="left" w:pos="1276"/>
                <w:tab w:val="left" w:pos="7088"/>
                <w:tab w:val="right" w:pos="9370"/>
              </w:tabs>
              <w:rPr>
                <w:rFonts w:ascii="Arial" w:hAnsi="Arial" w:cs="Arial"/>
              </w:rPr>
            </w:pPr>
            <w:r w:rsidRPr="00356B93">
              <w:rPr>
                <w:rFonts w:ascii="Arial" w:hAnsi="Arial" w:cs="Arial"/>
              </w:rPr>
              <w:t>2028</w:t>
            </w:r>
            <w:r w:rsidRPr="00356B93">
              <w:rPr>
                <w:rFonts w:ascii="Arial" w:hAnsi="Arial" w:cs="Arial"/>
              </w:rPr>
              <w:tab/>
            </w:r>
          </w:p>
          <w:p w14:paraId="68B81B2F" w14:textId="77777777" w:rsidR="00EA29C5" w:rsidRPr="00356B93" w:rsidRDefault="00EA29C5" w:rsidP="00EA29C5">
            <w:pPr>
              <w:pStyle w:val="ListParagraph"/>
              <w:widowControl/>
              <w:numPr>
                <w:ilvl w:val="0"/>
                <w:numId w:val="16"/>
              </w:numPr>
              <w:tabs>
                <w:tab w:val="left" w:pos="1276"/>
                <w:tab w:val="left" w:pos="7088"/>
                <w:tab w:val="right" w:pos="9370"/>
              </w:tabs>
              <w:autoSpaceDE/>
              <w:autoSpaceDN/>
              <w:rPr>
                <w:color w:val="808080"/>
              </w:rPr>
            </w:pPr>
            <w:r w:rsidRPr="00356B93">
              <w:rPr>
                <w:rFonts w:ascii="Arial" w:hAnsi="Arial" w:cs="Arial"/>
              </w:rPr>
              <w:t>Complete clinical precision medicine study started in year 2</w:t>
            </w:r>
          </w:p>
          <w:p w14:paraId="79F7D541" w14:textId="77777777" w:rsidR="00EA29C5" w:rsidRPr="00356B93" w:rsidRDefault="00EA29C5" w:rsidP="00B564A3">
            <w:pPr>
              <w:pStyle w:val="ListParagraph"/>
              <w:tabs>
                <w:tab w:val="left" w:pos="1276"/>
                <w:tab w:val="left" w:pos="7088"/>
                <w:tab w:val="right" w:pos="9370"/>
              </w:tabs>
              <w:spacing w:before="120"/>
              <w:rPr>
                <w:color w:val="808080"/>
              </w:rPr>
            </w:pPr>
          </w:p>
        </w:tc>
      </w:tr>
    </w:tbl>
    <w:p w14:paraId="7720A304" w14:textId="1A98D501" w:rsidR="00EA29C5" w:rsidRDefault="00EA29C5" w:rsidP="00EA29C5">
      <w:bookmarkStart w:id="9" w:name="_Toc72252040"/>
    </w:p>
    <w:p w14:paraId="6D879845" w14:textId="13D3F259" w:rsidR="00EA29C5" w:rsidRDefault="00EA29C5" w:rsidP="00EA29C5">
      <w:bookmarkStart w:id="10" w:name="_Toc170821714"/>
      <w:bookmarkEnd w:id="9"/>
    </w:p>
    <w:p w14:paraId="6833268D" w14:textId="5D05D0F5" w:rsidR="00EA29C5" w:rsidRDefault="00EA29C5" w:rsidP="00EA29C5">
      <w:pPr>
        <w:rPr>
          <w:rFonts w:ascii="Arial" w:hAnsi="Arial" w:cs="Arial"/>
          <w:b/>
          <w:bCs/>
          <w:sz w:val="28"/>
          <w:szCs w:val="28"/>
        </w:rPr>
      </w:pPr>
      <w:bookmarkStart w:id="11" w:name="appendix2"/>
      <w:bookmarkEnd w:id="10"/>
    </w:p>
    <w:p w14:paraId="2C2DC177" w14:textId="77777777" w:rsidR="00EA29C5" w:rsidRDefault="00EA29C5" w:rsidP="00EA29C5">
      <w:pPr>
        <w:rPr>
          <w:rFonts w:ascii="Arial" w:hAnsi="Arial" w:cs="Arial"/>
          <w:b/>
          <w:bCs/>
          <w:sz w:val="28"/>
          <w:szCs w:val="28"/>
        </w:rPr>
        <w:sectPr w:rsidR="00EA29C5" w:rsidSect="00EA29C5">
          <w:headerReference w:type="default" r:id="rId8"/>
          <w:footerReference w:type="even" r:id="rId9"/>
          <w:footerReference w:type="default" r:id="rId10"/>
          <w:type w:val="continuous"/>
          <w:pgSz w:w="11907" w:h="16839" w:code="9"/>
          <w:pgMar w:top="720" w:right="720" w:bottom="720" w:left="720" w:header="708" w:footer="708" w:gutter="0"/>
          <w:cols w:space="708"/>
          <w:docGrid w:linePitch="326"/>
        </w:sectPr>
      </w:pPr>
      <w:bookmarkStart w:id="12" w:name="appendix3"/>
      <w:bookmarkStart w:id="13" w:name="_Hlk102554453"/>
      <w:bookmarkEnd w:id="11"/>
    </w:p>
    <w:bookmarkEnd w:id="12"/>
    <w:bookmarkEnd w:id="13"/>
    <w:p w14:paraId="7263BC08" w14:textId="36F5BFC8" w:rsidR="00EA29C5" w:rsidRPr="00E86AA3" w:rsidRDefault="00EA29C5" w:rsidP="00EA29C5">
      <w:pPr>
        <w:rPr>
          <w:rFonts w:ascii="Arial" w:hAnsi="Arial" w:cs="Arial"/>
          <w:b/>
          <w:bCs/>
          <w:sz w:val="28"/>
          <w:szCs w:val="28"/>
        </w:rPr>
      </w:pPr>
      <w:r w:rsidRPr="0016019A">
        <w:rPr>
          <w:rFonts w:ascii="Arial" w:hAnsi="Arial" w:cs="Arial"/>
          <w:b/>
          <w:bCs/>
          <w:sz w:val="28"/>
          <w:szCs w:val="28"/>
        </w:rPr>
        <w:lastRenderedPageBreak/>
        <w:t xml:space="preserve">Appendix </w:t>
      </w:r>
      <w:r w:rsidR="00977359">
        <w:rPr>
          <w:rFonts w:ascii="Arial" w:hAnsi="Arial" w:cs="Arial"/>
          <w:b/>
          <w:bCs/>
          <w:sz w:val="28"/>
          <w:szCs w:val="28"/>
        </w:rPr>
        <w:t>2</w:t>
      </w:r>
      <w:r w:rsidRPr="0016019A">
        <w:rPr>
          <w:rFonts w:ascii="Arial" w:hAnsi="Arial" w:cs="Arial"/>
          <w:b/>
          <w:bCs/>
          <w:sz w:val="28"/>
          <w:szCs w:val="28"/>
        </w:rPr>
        <w:t xml:space="preserve"> </w:t>
      </w:r>
      <w:r>
        <w:rPr>
          <w:rFonts w:ascii="Arial" w:hAnsi="Arial" w:cs="Arial"/>
          <w:b/>
          <w:bCs/>
          <w:sz w:val="28"/>
          <w:szCs w:val="28"/>
        </w:rPr>
        <w:t>–</w:t>
      </w:r>
      <w:r w:rsidRPr="0016019A">
        <w:rPr>
          <w:rFonts w:ascii="Arial" w:hAnsi="Arial" w:cs="Arial"/>
          <w:b/>
          <w:bCs/>
          <w:sz w:val="28"/>
          <w:szCs w:val="28"/>
        </w:rPr>
        <w:t xml:space="preserve"> </w:t>
      </w:r>
      <w:r w:rsidRPr="00E86AA3">
        <w:rPr>
          <w:rFonts w:ascii="Century Gothic" w:eastAsia="MS Gothic" w:hAnsi="Century Gothic"/>
          <w:b/>
          <w:bCs/>
          <w:sz w:val="26"/>
          <w:szCs w:val="26"/>
          <w:lang w:val="en-NZ"/>
        </w:rPr>
        <w:t xml:space="preserve">Application of </w:t>
      </w:r>
      <w:proofErr w:type="spellStart"/>
      <w:r w:rsidRPr="00E86AA3">
        <w:rPr>
          <w:rFonts w:ascii="Century Gothic" w:eastAsia="MS Gothic" w:hAnsi="Century Gothic"/>
          <w:b/>
          <w:bCs/>
          <w:sz w:val="26"/>
          <w:szCs w:val="26"/>
          <w:lang w:val="en-NZ"/>
        </w:rPr>
        <w:t>Tiriti</w:t>
      </w:r>
      <w:proofErr w:type="spellEnd"/>
      <w:r w:rsidRPr="00E86AA3">
        <w:rPr>
          <w:rFonts w:ascii="Century Gothic" w:eastAsia="MS Gothic" w:hAnsi="Century Gothic"/>
          <w:b/>
          <w:bCs/>
          <w:sz w:val="26"/>
          <w:szCs w:val="26"/>
          <w:lang w:val="en-NZ"/>
        </w:rPr>
        <w:t xml:space="preserve"> Principles in the Maurice Wilkins Centre</w:t>
      </w:r>
      <w:r>
        <w:rPr>
          <w:rFonts w:ascii="Century Gothic" w:eastAsia="MS Gothic" w:hAnsi="Century Gothic"/>
          <w:b/>
          <w:bCs/>
          <w:sz w:val="26"/>
          <w:szCs w:val="26"/>
          <w:lang w:val="en-NZ"/>
        </w:rPr>
        <w:t xml:space="preserve"> (excerpt from </w:t>
      </w:r>
      <w:r w:rsidRPr="00175A37">
        <w:rPr>
          <w:rFonts w:ascii="Century Gothic" w:eastAsia="MS Gothic" w:hAnsi="Century Gothic"/>
          <w:b/>
          <w:bCs/>
          <w:sz w:val="26"/>
          <w:szCs w:val="26"/>
        </w:rPr>
        <w:t>MWC’s Māori Engagement Strategy</w:t>
      </w:r>
      <w:r>
        <w:rPr>
          <w:rFonts w:ascii="Century Gothic" w:eastAsia="MS Gothic" w:hAnsi="Century Gothic"/>
          <w:b/>
          <w:bCs/>
          <w:sz w:val="26"/>
          <w:szCs w:val="26"/>
        </w:rPr>
        <w:t>)</w:t>
      </w:r>
    </w:p>
    <w:p w14:paraId="77317BE2" w14:textId="77777777" w:rsidR="00EA29C5" w:rsidRPr="00B6047A" w:rsidRDefault="00EA29C5" w:rsidP="00EA29C5">
      <w:pPr>
        <w:spacing w:after="200" w:line="280" w:lineRule="exact"/>
        <w:rPr>
          <w:rFonts w:ascii="Century Gothic" w:eastAsia="Century Gothic" w:hAnsi="Century Gothic" w:cs="Century Gothic"/>
          <w:sz w:val="20"/>
          <w:lang w:val="en-HK"/>
        </w:rPr>
      </w:pPr>
    </w:p>
    <w:p w14:paraId="406A8C68" w14:textId="77777777" w:rsidR="00EA29C5" w:rsidRPr="00B6047A" w:rsidRDefault="00EA29C5" w:rsidP="00EA29C5">
      <w:pPr>
        <w:spacing w:after="200" w:line="280" w:lineRule="exact"/>
        <w:rPr>
          <w:rFonts w:ascii="Century Gothic" w:eastAsia="Century Gothic" w:hAnsi="Century Gothic" w:cs="Century Gothic"/>
          <w:sz w:val="20"/>
          <w:lang w:val="en-HK"/>
        </w:rPr>
      </w:pPr>
      <w:r w:rsidRPr="00B6047A">
        <w:rPr>
          <w:rFonts w:ascii="Century Gothic" w:eastAsia="Century Gothic" w:hAnsi="Century Gothic" w:cs="Century Gothic"/>
          <w:sz w:val="20"/>
          <w:lang w:val="en-HK"/>
        </w:rPr>
        <w:t xml:space="preserve">As a Crown-funded CORE, the Maurice Wilkins Centre (MWC) is committed to uphold </w:t>
      </w:r>
      <w:proofErr w:type="spellStart"/>
      <w:r w:rsidRPr="00B6047A">
        <w:rPr>
          <w:rFonts w:ascii="Century Gothic" w:eastAsia="Century Gothic" w:hAnsi="Century Gothic" w:cs="Century Gothic"/>
          <w:sz w:val="20"/>
          <w:lang w:val="en-HK"/>
        </w:rPr>
        <w:t>te</w:t>
      </w:r>
      <w:proofErr w:type="spellEnd"/>
      <w:r w:rsidRPr="00B6047A">
        <w:rPr>
          <w:rFonts w:ascii="Century Gothic" w:eastAsia="Century Gothic" w:hAnsi="Century Gothic" w:cs="Century Gothic"/>
          <w:sz w:val="20"/>
          <w:lang w:val="en-HK"/>
        </w:rPr>
        <w:t xml:space="preserve"> </w:t>
      </w:r>
      <w:proofErr w:type="spellStart"/>
      <w:r w:rsidRPr="00B6047A">
        <w:rPr>
          <w:rFonts w:ascii="Century Gothic" w:eastAsia="Century Gothic" w:hAnsi="Century Gothic" w:cs="Century Gothic"/>
          <w:sz w:val="20"/>
          <w:lang w:val="en-HK"/>
        </w:rPr>
        <w:t>Tiriti</w:t>
      </w:r>
      <w:proofErr w:type="spellEnd"/>
      <w:r w:rsidRPr="00B6047A">
        <w:rPr>
          <w:rFonts w:ascii="Century Gothic" w:eastAsia="Century Gothic" w:hAnsi="Century Gothic" w:cs="Century Gothic"/>
          <w:sz w:val="20"/>
          <w:lang w:val="en-HK"/>
        </w:rPr>
        <w:t xml:space="preserve"> o Waitangi (</w:t>
      </w:r>
      <w:proofErr w:type="spellStart"/>
      <w:r w:rsidRPr="00B6047A">
        <w:rPr>
          <w:rFonts w:ascii="Century Gothic" w:eastAsia="Century Gothic" w:hAnsi="Century Gothic" w:cs="Century Gothic"/>
          <w:sz w:val="20"/>
          <w:lang w:val="en-HK"/>
        </w:rPr>
        <w:t>Tiriti</w:t>
      </w:r>
      <w:proofErr w:type="spellEnd"/>
      <w:r w:rsidRPr="00B6047A">
        <w:rPr>
          <w:rFonts w:ascii="Century Gothic" w:eastAsia="Century Gothic" w:hAnsi="Century Gothic" w:cs="Century Gothic"/>
          <w:sz w:val="20"/>
          <w:lang w:val="en-HK"/>
        </w:rPr>
        <w:t>).</w:t>
      </w:r>
      <w:r>
        <w:rPr>
          <w:rFonts w:ascii="Century Gothic" w:eastAsia="Century Gothic" w:hAnsi="Century Gothic" w:cs="Century Gothic"/>
          <w:sz w:val="20"/>
          <w:lang w:val="en-HK"/>
        </w:rPr>
        <w:t xml:space="preserve"> </w:t>
      </w:r>
      <w:r w:rsidRPr="00B6047A">
        <w:rPr>
          <w:rFonts w:ascii="Century Gothic" w:eastAsia="Century Gothic" w:hAnsi="Century Gothic" w:cs="Century Gothic"/>
          <w:sz w:val="20"/>
          <w:lang w:val="en-HK"/>
        </w:rPr>
        <w:t xml:space="preserve"> This document is developed to assist with fulfilling its commitment. </w:t>
      </w:r>
    </w:p>
    <w:p w14:paraId="52993CA2" w14:textId="77777777" w:rsidR="00EA29C5" w:rsidRPr="00B6047A" w:rsidRDefault="00EA29C5" w:rsidP="00EA29C5">
      <w:pPr>
        <w:spacing w:after="200" w:line="280" w:lineRule="exact"/>
        <w:rPr>
          <w:rFonts w:ascii="Century Gothic" w:eastAsia="Century Gothic" w:hAnsi="Century Gothic" w:cs="Century Gothic"/>
          <w:sz w:val="20"/>
          <w:lang w:val="en-HK"/>
        </w:rPr>
      </w:pPr>
      <w:r w:rsidRPr="00B6047A">
        <w:rPr>
          <w:rFonts w:ascii="Century Gothic" w:eastAsia="Century Gothic" w:hAnsi="Century Gothic" w:cs="Century Gothic"/>
          <w:sz w:val="20"/>
          <w:lang w:val="en-HK"/>
        </w:rPr>
        <w:t>There are three tables in this document.</w:t>
      </w:r>
      <w:r>
        <w:rPr>
          <w:rFonts w:ascii="Century Gothic" w:eastAsia="Century Gothic" w:hAnsi="Century Gothic" w:cs="Century Gothic"/>
          <w:sz w:val="20"/>
          <w:lang w:val="en-HK"/>
        </w:rPr>
        <w:t xml:space="preserve"> </w:t>
      </w:r>
      <w:r w:rsidRPr="00B6047A">
        <w:rPr>
          <w:rFonts w:ascii="Century Gothic" w:eastAsia="Century Gothic" w:hAnsi="Century Gothic" w:cs="Century Gothic"/>
          <w:sz w:val="20"/>
          <w:lang w:val="en-HK"/>
        </w:rPr>
        <w:t xml:space="preserve"> The first of these has been </w:t>
      </w:r>
      <w:r w:rsidRPr="00B6047A">
        <w:rPr>
          <w:rFonts w:ascii="Century Gothic" w:eastAsia="Century Gothic" w:hAnsi="Century Gothic" w:cs="Century Gothic"/>
          <w:sz w:val="20"/>
          <w:lang w:val="en-NZ"/>
        </w:rPr>
        <w:t xml:space="preserve">been drawn from the government’s Vision </w:t>
      </w:r>
      <w:proofErr w:type="spellStart"/>
      <w:r w:rsidRPr="00B6047A">
        <w:rPr>
          <w:rFonts w:ascii="Century Gothic" w:eastAsia="Century Gothic" w:hAnsi="Century Gothic" w:cs="Century Gothic"/>
          <w:sz w:val="20"/>
          <w:lang w:val="en-NZ"/>
        </w:rPr>
        <w:t>Mātauranga</w:t>
      </w:r>
      <w:proofErr w:type="spellEnd"/>
      <w:r w:rsidRPr="00B6047A">
        <w:rPr>
          <w:rFonts w:ascii="Century Gothic" w:eastAsia="Century Gothic" w:hAnsi="Century Gothic" w:cs="Century Gothic"/>
          <w:sz w:val="20"/>
          <w:lang w:val="en-NZ"/>
        </w:rPr>
        <w:t xml:space="preserve"> statement.</w:t>
      </w:r>
      <w:r>
        <w:rPr>
          <w:rFonts w:ascii="Century Gothic" w:eastAsia="Century Gothic" w:hAnsi="Century Gothic" w:cs="Century Gothic"/>
          <w:sz w:val="20"/>
          <w:lang w:val="en-NZ"/>
        </w:rPr>
        <w:t xml:space="preserve"> </w:t>
      </w:r>
      <w:r w:rsidRPr="00B6047A">
        <w:rPr>
          <w:rFonts w:ascii="Century Gothic" w:eastAsia="Century Gothic" w:hAnsi="Century Gothic" w:cs="Century Gothic"/>
          <w:sz w:val="20"/>
          <w:lang w:val="en-NZ"/>
        </w:rPr>
        <w:t xml:space="preserve"> In this table, research</w:t>
      </w:r>
      <w:r w:rsidRPr="00B6047A">
        <w:rPr>
          <w:rFonts w:ascii="Century Gothic" w:eastAsia="Century Gothic" w:hAnsi="Century Gothic" w:cs="Century Gothic"/>
          <w:sz w:val="20"/>
          <w:lang w:val="en-HK"/>
        </w:rPr>
        <w:t xml:space="preserve"> is divided into </w:t>
      </w:r>
      <w:r w:rsidRPr="00B6047A">
        <w:rPr>
          <w:rFonts w:ascii="Century Gothic" w:eastAsia="Century Gothic" w:hAnsi="Century Gothic" w:cs="Century Gothic"/>
          <w:sz w:val="20"/>
          <w:lang w:val="en-NZ"/>
        </w:rPr>
        <w:t>three categories that were adapted from those on the National Science Challenge, Biological Heritage website hosted by Manaaki Whenua Landcare Research.</w:t>
      </w:r>
      <w:r>
        <w:rPr>
          <w:rFonts w:ascii="Century Gothic" w:eastAsia="Century Gothic" w:hAnsi="Century Gothic" w:cs="Century Gothic"/>
          <w:sz w:val="20"/>
          <w:lang w:val="en-NZ"/>
        </w:rPr>
        <w:t xml:space="preserve"> </w:t>
      </w:r>
      <w:r w:rsidRPr="00B6047A">
        <w:rPr>
          <w:rFonts w:ascii="Century Gothic" w:eastAsia="Century Gothic" w:hAnsi="Century Gothic" w:cs="Century Gothic"/>
          <w:sz w:val="20"/>
          <w:lang w:val="en-NZ"/>
        </w:rPr>
        <w:t xml:space="preserve"> Please note that there may be overlap between categories A, B, and C in terms of the nature and degree of relevance to Māori.</w:t>
      </w:r>
    </w:p>
    <w:p w14:paraId="5BB7FE4C" w14:textId="77777777" w:rsidR="00EA29C5" w:rsidRPr="00B6047A" w:rsidRDefault="00EA29C5" w:rsidP="00EA29C5">
      <w:pPr>
        <w:spacing w:after="200" w:line="280" w:lineRule="exact"/>
        <w:ind w:left="35"/>
        <w:rPr>
          <w:rFonts w:ascii="Century Gothic" w:eastAsia="Century Gothic" w:hAnsi="Century Gothic" w:cs="Century Gothic"/>
          <w:sz w:val="20"/>
          <w:lang w:val="en-NZ"/>
        </w:rPr>
      </w:pPr>
      <w:r w:rsidRPr="00B6047A">
        <w:rPr>
          <w:rFonts w:ascii="Century Gothic" w:eastAsia="Century Gothic" w:hAnsi="Century Gothic" w:cs="Century Gothic"/>
          <w:sz w:val="20"/>
          <w:lang w:val="en-HK"/>
        </w:rPr>
        <w:t xml:space="preserve">The second table </w:t>
      </w:r>
      <w:r w:rsidRPr="00B6047A">
        <w:rPr>
          <w:rFonts w:ascii="Century Gothic" w:eastAsia="Century Gothic" w:hAnsi="Century Gothic" w:cs="Century Gothic"/>
          <w:sz w:val="20"/>
          <w:lang w:val="en-NZ"/>
        </w:rPr>
        <w:t xml:space="preserve">sets out four mana used in the health system to express </w:t>
      </w:r>
      <w:proofErr w:type="spellStart"/>
      <w:r w:rsidRPr="00B6047A">
        <w:rPr>
          <w:rFonts w:ascii="Century Gothic" w:eastAsia="Century Gothic" w:hAnsi="Century Gothic" w:cs="Century Gothic"/>
          <w:sz w:val="20"/>
          <w:lang w:val="en-NZ"/>
        </w:rPr>
        <w:t>te</w:t>
      </w:r>
      <w:proofErr w:type="spellEnd"/>
      <w:r w:rsidRPr="00B6047A">
        <w:rPr>
          <w:rFonts w:ascii="Century Gothic" w:eastAsia="Century Gothic" w:hAnsi="Century Gothic" w:cs="Century Gothic"/>
          <w:sz w:val="20"/>
          <w:lang w:val="en-NZ"/>
        </w:rPr>
        <w:t xml:space="preserve"> </w:t>
      </w:r>
      <w:proofErr w:type="spellStart"/>
      <w:r w:rsidRPr="00B6047A">
        <w:rPr>
          <w:rFonts w:ascii="Century Gothic" w:eastAsia="Century Gothic" w:hAnsi="Century Gothic" w:cs="Century Gothic"/>
          <w:sz w:val="20"/>
          <w:lang w:val="en-NZ"/>
        </w:rPr>
        <w:t>Tiriti</w:t>
      </w:r>
      <w:proofErr w:type="spellEnd"/>
      <w:r w:rsidRPr="00B6047A">
        <w:rPr>
          <w:rFonts w:ascii="Century Gothic" w:eastAsia="Century Gothic" w:hAnsi="Century Gothic" w:cs="Century Gothic"/>
          <w:sz w:val="20"/>
          <w:lang w:val="en-NZ"/>
        </w:rPr>
        <w:t xml:space="preserve"> and suggests how </w:t>
      </w:r>
      <w:proofErr w:type="spellStart"/>
      <w:r w:rsidRPr="00B6047A">
        <w:rPr>
          <w:rFonts w:ascii="Century Gothic" w:eastAsia="Century Gothic" w:hAnsi="Century Gothic" w:cs="Century Gothic"/>
          <w:sz w:val="20"/>
          <w:lang w:val="en-NZ"/>
        </w:rPr>
        <w:t>mana</w:t>
      </w:r>
      <w:proofErr w:type="spellEnd"/>
      <w:r w:rsidRPr="00B6047A">
        <w:rPr>
          <w:rFonts w:ascii="Century Gothic" w:eastAsia="Century Gothic" w:hAnsi="Century Gothic" w:cs="Century Gothic"/>
          <w:sz w:val="20"/>
          <w:lang w:val="en-NZ"/>
        </w:rPr>
        <w:t xml:space="preserve"> </w:t>
      </w:r>
      <w:proofErr w:type="spellStart"/>
      <w:r w:rsidRPr="00B6047A">
        <w:rPr>
          <w:rFonts w:ascii="Century Gothic" w:eastAsia="Century Gothic" w:hAnsi="Century Gothic" w:cs="Century Gothic"/>
          <w:sz w:val="20"/>
          <w:lang w:val="en-NZ"/>
        </w:rPr>
        <w:t>whakahaere</w:t>
      </w:r>
      <w:proofErr w:type="spellEnd"/>
      <w:r w:rsidRPr="00B6047A">
        <w:rPr>
          <w:rFonts w:ascii="Century Gothic" w:eastAsia="Century Gothic" w:hAnsi="Century Gothic" w:cs="Century Gothic"/>
          <w:sz w:val="20"/>
          <w:lang w:val="en-NZ"/>
        </w:rPr>
        <w:t xml:space="preserve">, mana </w:t>
      </w:r>
      <w:proofErr w:type="spellStart"/>
      <w:r w:rsidRPr="00B6047A">
        <w:rPr>
          <w:rFonts w:ascii="Century Gothic" w:eastAsia="Century Gothic" w:hAnsi="Century Gothic" w:cs="Century Gothic"/>
          <w:sz w:val="20"/>
          <w:lang w:val="en-NZ"/>
        </w:rPr>
        <w:t>motuhake</w:t>
      </w:r>
      <w:proofErr w:type="spellEnd"/>
      <w:r w:rsidRPr="00B6047A">
        <w:rPr>
          <w:rFonts w:ascii="Century Gothic" w:eastAsia="Century Gothic" w:hAnsi="Century Gothic" w:cs="Century Gothic"/>
          <w:sz w:val="20"/>
          <w:lang w:val="en-NZ"/>
        </w:rPr>
        <w:t xml:space="preserve">, mana </w:t>
      </w:r>
      <w:proofErr w:type="spellStart"/>
      <w:r w:rsidRPr="00B6047A">
        <w:rPr>
          <w:rFonts w:ascii="Century Gothic" w:eastAsia="Century Gothic" w:hAnsi="Century Gothic" w:cs="Century Gothic"/>
          <w:sz w:val="20"/>
          <w:lang w:val="en-NZ"/>
        </w:rPr>
        <w:t>tangata</w:t>
      </w:r>
      <w:proofErr w:type="spellEnd"/>
      <w:r w:rsidRPr="00B6047A">
        <w:rPr>
          <w:rFonts w:ascii="Century Gothic" w:eastAsia="Century Gothic" w:hAnsi="Century Gothic" w:cs="Century Gothic"/>
          <w:sz w:val="20"/>
          <w:lang w:val="en-NZ"/>
        </w:rPr>
        <w:t xml:space="preserve"> and mana Māori can be expressed in relation to the three categories of research. </w:t>
      </w:r>
    </w:p>
    <w:p w14:paraId="3CA39595" w14:textId="77777777" w:rsidR="00EA29C5" w:rsidRPr="00B6047A" w:rsidRDefault="00EA29C5" w:rsidP="00EA29C5">
      <w:pPr>
        <w:spacing w:after="200" w:line="280" w:lineRule="exact"/>
        <w:ind w:left="35"/>
        <w:rPr>
          <w:rFonts w:ascii="Century Gothic" w:eastAsia="Century Gothic" w:hAnsi="Century Gothic" w:cs="Century Gothic"/>
          <w:sz w:val="20"/>
          <w:lang w:val="en-NZ"/>
        </w:rPr>
      </w:pPr>
      <w:r w:rsidRPr="00B6047A">
        <w:rPr>
          <w:rFonts w:ascii="Century Gothic" w:eastAsia="Century Gothic" w:hAnsi="Century Gothic" w:cs="Century Gothic"/>
          <w:sz w:val="20"/>
          <w:lang w:val="en-NZ"/>
        </w:rPr>
        <w:t xml:space="preserve">The third table expresses five </w:t>
      </w:r>
      <w:proofErr w:type="spellStart"/>
      <w:r w:rsidRPr="00B6047A">
        <w:rPr>
          <w:rFonts w:ascii="Century Gothic" w:eastAsia="Century Gothic" w:hAnsi="Century Gothic" w:cs="Century Gothic"/>
          <w:sz w:val="20"/>
          <w:lang w:val="en-NZ"/>
        </w:rPr>
        <w:t>Tiriti</w:t>
      </w:r>
      <w:proofErr w:type="spellEnd"/>
      <w:r w:rsidRPr="00B6047A">
        <w:rPr>
          <w:rFonts w:ascii="Century Gothic" w:eastAsia="Century Gothic" w:hAnsi="Century Gothic" w:cs="Century Gothic"/>
          <w:sz w:val="20"/>
          <w:lang w:val="en-NZ"/>
        </w:rPr>
        <w:t xml:space="preserve"> principles in relation to the provision of health research services and also suggests how these can be interpreted in relation to the each of the five research categories.</w:t>
      </w:r>
    </w:p>
    <w:p w14:paraId="6AAE4526" w14:textId="77777777" w:rsidR="00EA29C5" w:rsidRPr="00B6047A" w:rsidRDefault="00EA29C5" w:rsidP="00EA29C5">
      <w:pPr>
        <w:spacing w:after="120" w:line="280" w:lineRule="exact"/>
        <w:rPr>
          <w:rFonts w:ascii="Century Gothic" w:eastAsia="Century Gothic" w:hAnsi="Century Gothic" w:cs="Century Gothic"/>
          <w:sz w:val="20"/>
          <w:lang w:val="en-NZ"/>
        </w:rPr>
      </w:pPr>
      <w:r w:rsidRPr="00B6047A">
        <w:rPr>
          <w:rFonts w:ascii="Century Gothic" w:eastAsia="Century Gothic" w:hAnsi="Century Gothic" w:cs="Century Gothic"/>
          <w:sz w:val="20"/>
          <w:lang w:val="en-NZ"/>
        </w:rPr>
        <w:t xml:space="preserve">The application of </w:t>
      </w:r>
      <w:proofErr w:type="spellStart"/>
      <w:r w:rsidRPr="00B6047A">
        <w:rPr>
          <w:rFonts w:ascii="Century Gothic" w:eastAsia="Century Gothic" w:hAnsi="Century Gothic" w:cs="Century Gothic"/>
          <w:sz w:val="20"/>
          <w:lang w:val="en-NZ"/>
        </w:rPr>
        <w:t>Tiriti</w:t>
      </w:r>
      <w:proofErr w:type="spellEnd"/>
      <w:r w:rsidRPr="00B6047A">
        <w:rPr>
          <w:rFonts w:ascii="Century Gothic" w:eastAsia="Century Gothic" w:hAnsi="Century Gothic" w:cs="Century Gothic"/>
          <w:sz w:val="20"/>
          <w:lang w:val="en-NZ"/>
        </w:rPr>
        <w:t xml:space="preserve"> principles will be used to influence strategy, structures, procedures, personnel and operations in the work of the MWC, as they were in the latest research funding round where researchers were required to identify how their research will engage with Māori. </w:t>
      </w:r>
    </w:p>
    <w:p w14:paraId="3A9FC2B5" w14:textId="77777777" w:rsidR="00EA29C5" w:rsidRPr="00B6047A" w:rsidRDefault="00EA29C5" w:rsidP="00EA29C5">
      <w:pPr>
        <w:spacing w:after="120" w:line="280" w:lineRule="exact"/>
        <w:rPr>
          <w:rFonts w:ascii="Century Gothic" w:eastAsia="Century Gothic" w:hAnsi="Century Gothic" w:cs="Century Gothic"/>
          <w:sz w:val="20"/>
          <w:lang w:val="en-NZ"/>
        </w:rPr>
      </w:pPr>
      <w:r w:rsidRPr="00B6047A">
        <w:rPr>
          <w:rFonts w:ascii="Century Gothic" w:eastAsia="SimSun" w:hAnsi="Century Gothic"/>
          <w:sz w:val="20"/>
          <w:lang w:val="en-NZ"/>
        </w:rPr>
        <w:t>It is understood that the MWC research programme comprises a wide range of projects ranging from very small in size to larger projects and comprises a wide range of scientific techniques and approaches, so it is difficult to apply every aspect of the principles below to every individual project but the goal for the centre is to achieve this balance at the overall level of its research programme.</w:t>
      </w:r>
    </w:p>
    <w:p w14:paraId="1DFD75EB" w14:textId="77777777" w:rsidR="00EA29C5" w:rsidRPr="00B6047A" w:rsidRDefault="00EA29C5" w:rsidP="00EA29C5">
      <w:pPr>
        <w:spacing w:after="120" w:line="280" w:lineRule="exact"/>
        <w:rPr>
          <w:rFonts w:ascii="Century Gothic" w:eastAsia="Century Gothic" w:hAnsi="Century Gothic" w:cs="Century Gothic"/>
          <w:sz w:val="20"/>
          <w:lang w:val="en-NZ"/>
        </w:rPr>
      </w:pPr>
    </w:p>
    <w:p w14:paraId="1FA17BE2" w14:textId="77777777" w:rsidR="00EA29C5" w:rsidRDefault="00EA29C5" w:rsidP="00EA29C5">
      <w:pPr>
        <w:spacing w:after="120" w:line="280" w:lineRule="exact"/>
        <w:rPr>
          <w:rFonts w:ascii="Century Gothic" w:eastAsia="Century Gothic" w:hAnsi="Century Gothic" w:cs="Century Gothic"/>
          <w:sz w:val="20"/>
          <w:lang w:val="en-NZ"/>
        </w:rPr>
      </w:pPr>
    </w:p>
    <w:p w14:paraId="111A59D5" w14:textId="77777777" w:rsidR="00EA29C5" w:rsidRDefault="00EA29C5" w:rsidP="00EA29C5">
      <w:pPr>
        <w:spacing w:after="120" w:line="280" w:lineRule="exact"/>
        <w:rPr>
          <w:rFonts w:ascii="Century Gothic" w:eastAsia="Century Gothic" w:hAnsi="Century Gothic" w:cs="Century Gothic"/>
          <w:sz w:val="20"/>
          <w:lang w:val="en-NZ"/>
        </w:rPr>
      </w:pPr>
    </w:p>
    <w:p w14:paraId="3AF4F3DB" w14:textId="77777777" w:rsidR="00EA29C5" w:rsidRDefault="00EA29C5" w:rsidP="00EA29C5">
      <w:pPr>
        <w:spacing w:after="120" w:line="280" w:lineRule="exact"/>
        <w:rPr>
          <w:rFonts w:ascii="Century Gothic" w:eastAsia="Century Gothic" w:hAnsi="Century Gothic" w:cs="Century Gothic"/>
          <w:sz w:val="20"/>
          <w:lang w:val="en-NZ"/>
        </w:rPr>
      </w:pPr>
    </w:p>
    <w:p w14:paraId="623BEA3B" w14:textId="77777777" w:rsidR="00EA29C5" w:rsidRDefault="00EA29C5" w:rsidP="00EA29C5">
      <w:pPr>
        <w:spacing w:after="120" w:line="280" w:lineRule="exact"/>
        <w:rPr>
          <w:rFonts w:ascii="Century Gothic" w:eastAsia="Century Gothic" w:hAnsi="Century Gothic" w:cs="Century Gothic"/>
          <w:sz w:val="20"/>
          <w:lang w:val="en-NZ"/>
        </w:rPr>
      </w:pPr>
    </w:p>
    <w:p w14:paraId="2F95B2D3" w14:textId="77777777" w:rsidR="00EA29C5" w:rsidRDefault="00EA29C5" w:rsidP="00EA29C5">
      <w:pPr>
        <w:spacing w:after="120" w:line="280" w:lineRule="exact"/>
        <w:rPr>
          <w:rFonts w:ascii="Century Gothic" w:eastAsia="Century Gothic" w:hAnsi="Century Gothic" w:cs="Century Gothic"/>
          <w:sz w:val="20"/>
          <w:lang w:val="en-NZ"/>
        </w:rPr>
      </w:pPr>
    </w:p>
    <w:p w14:paraId="414C817E" w14:textId="77777777" w:rsidR="00EA29C5" w:rsidRPr="00B6047A" w:rsidRDefault="00EA29C5" w:rsidP="00EA29C5">
      <w:pPr>
        <w:spacing w:after="200" w:line="280" w:lineRule="exact"/>
        <w:ind w:left="35"/>
        <w:rPr>
          <w:rFonts w:ascii="Century Gothic" w:eastAsia="Century Gothic" w:hAnsi="Century Gothic" w:cs="Century Gothic"/>
          <w:b/>
          <w:bCs/>
          <w:sz w:val="20"/>
          <w:lang w:val="en-NZ"/>
        </w:rPr>
      </w:pPr>
      <w:r w:rsidRPr="00B6047A">
        <w:rPr>
          <w:rFonts w:ascii="Century Gothic" w:eastAsia="Century Gothic" w:hAnsi="Century Gothic" w:cs="Century Gothic"/>
          <w:b/>
          <w:bCs/>
          <w:sz w:val="20"/>
          <w:lang w:val="en-NZ"/>
        </w:rPr>
        <w:lastRenderedPageBreak/>
        <w:t xml:space="preserve">Table One: Research Categories Drawn from Vision </w:t>
      </w:r>
      <w:proofErr w:type="spellStart"/>
      <w:r w:rsidRPr="00B6047A">
        <w:rPr>
          <w:rFonts w:ascii="Century Gothic" w:eastAsia="Century Gothic" w:hAnsi="Century Gothic" w:cs="Century Gothic"/>
          <w:b/>
          <w:bCs/>
          <w:sz w:val="20"/>
          <w:lang w:val="en-NZ"/>
        </w:rPr>
        <w:t>Mātauranga</w:t>
      </w:r>
      <w:proofErr w:type="spellEnd"/>
      <w:r w:rsidRPr="00B6047A">
        <w:rPr>
          <w:rFonts w:ascii="Century Gothic" w:eastAsia="Century Gothic" w:hAnsi="Century Gothic" w:cs="Century Gothic"/>
          <w:b/>
          <w:bCs/>
          <w:sz w:val="20"/>
          <w:lang w:val="en-NZ"/>
        </w:rPr>
        <w:t>:</w:t>
      </w:r>
    </w:p>
    <w:tbl>
      <w:tblPr>
        <w:tblStyle w:val="TableGrid1"/>
        <w:tblW w:w="0" w:type="auto"/>
        <w:tblLayout w:type="fixed"/>
        <w:tblLook w:val="06A0" w:firstRow="1" w:lastRow="0" w:firstColumn="1" w:lastColumn="0" w:noHBand="1" w:noVBand="1"/>
      </w:tblPr>
      <w:tblGrid>
        <w:gridCol w:w="2122"/>
        <w:gridCol w:w="11828"/>
      </w:tblGrid>
      <w:tr w:rsidR="00EA29C5" w:rsidRPr="00B6047A" w14:paraId="47C8C35F" w14:textId="77777777" w:rsidTr="00B564A3">
        <w:tc>
          <w:tcPr>
            <w:tcW w:w="2122" w:type="dxa"/>
            <w:shd w:val="clear" w:color="auto" w:fill="B6DEE9"/>
          </w:tcPr>
          <w:p w14:paraId="2F108AC1" w14:textId="77777777" w:rsidR="00EA29C5" w:rsidRPr="002331C1" w:rsidRDefault="00EA29C5" w:rsidP="00B564A3">
            <w:pPr>
              <w:spacing w:after="200" w:line="280" w:lineRule="exact"/>
              <w:rPr>
                <w:rFonts w:ascii="Century Gothic" w:hAnsi="Century Gothic" w:cs="Century Gothic"/>
                <w:b/>
                <w:bCs/>
                <w:color w:val="000000"/>
                <w:sz w:val="20"/>
              </w:rPr>
            </w:pPr>
            <w:r w:rsidRPr="002331C1">
              <w:rPr>
                <w:rFonts w:ascii="Century Gothic" w:hAnsi="Century Gothic" w:cs="Century Gothic"/>
                <w:b/>
                <w:bCs/>
                <w:color w:val="000000"/>
                <w:sz w:val="20"/>
              </w:rPr>
              <w:t>Research Category</w:t>
            </w:r>
          </w:p>
        </w:tc>
        <w:tc>
          <w:tcPr>
            <w:tcW w:w="11828" w:type="dxa"/>
            <w:shd w:val="clear" w:color="auto" w:fill="B6DEE9"/>
          </w:tcPr>
          <w:p w14:paraId="28A7C8A2" w14:textId="77777777" w:rsidR="00EA29C5" w:rsidRPr="002331C1" w:rsidRDefault="00EA29C5" w:rsidP="00B564A3">
            <w:pPr>
              <w:spacing w:after="200" w:line="280" w:lineRule="exact"/>
              <w:rPr>
                <w:rFonts w:ascii="Century Gothic" w:hAnsi="Century Gothic" w:cs="Century Gothic"/>
                <w:b/>
                <w:bCs/>
                <w:color w:val="000000"/>
                <w:sz w:val="20"/>
              </w:rPr>
            </w:pPr>
            <w:r w:rsidRPr="002331C1">
              <w:rPr>
                <w:rFonts w:ascii="Century Gothic" w:hAnsi="Century Gothic" w:cs="Century Gothic"/>
                <w:b/>
                <w:bCs/>
                <w:color w:val="000000"/>
                <w:sz w:val="20"/>
              </w:rPr>
              <w:t>This category includes research where:</w:t>
            </w:r>
          </w:p>
        </w:tc>
      </w:tr>
      <w:tr w:rsidR="00EA29C5" w:rsidRPr="00B6047A" w14:paraId="20BFFC20" w14:textId="77777777" w:rsidTr="00B564A3">
        <w:trPr>
          <w:trHeight w:val="998"/>
        </w:trPr>
        <w:tc>
          <w:tcPr>
            <w:tcW w:w="2122" w:type="dxa"/>
          </w:tcPr>
          <w:p w14:paraId="7BFBE927" w14:textId="77777777" w:rsidR="00EA29C5" w:rsidRPr="002331C1" w:rsidRDefault="00EA29C5" w:rsidP="00EA29C5">
            <w:pPr>
              <w:numPr>
                <w:ilvl w:val="0"/>
                <w:numId w:val="12"/>
              </w:numPr>
              <w:spacing w:after="120" w:line="280" w:lineRule="exact"/>
              <w:rPr>
                <w:rFonts w:ascii="Century Gothic" w:hAnsi="Century Gothic" w:cs="Century Gothic"/>
                <w:b/>
                <w:bCs/>
                <w:color w:val="000000"/>
                <w:sz w:val="20"/>
              </w:rPr>
            </w:pPr>
            <w:r w:rsidRPr="002331C1">
              <w:rPr>
                <w:rFonts w:ascii="Century Gothic" w:hAnsi="Century Gothic" w:cs="Century Gothic"/>
                <w:b/>
                <w:bCs/>
                <w:color w:val="000000"/>
                <w:sz w:val="20"/>
              </w:rPr>
              <w:t>Research of relevance to all peoples</w:t>
            </w:r>
          </w:p>
        </w:tc>
        <w:tc>
          <w:tcPr>
            <w:tcW w:w="11828" w:type="dxa"/>
          </w:tcPr>
          <w:p w14:paraId="0A2C6E9D" w14:textId="77777777" w:rsidR="00EA29C5" w:rsidRPr="002331C1" w:rsidRDefault="00EA29C5" w:rsidP="00EA29C5">
            <w:pPr>
              <w:numPr>
                <w:ilvl w:val="0"/>
                <w:numId w:val="11"/>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No </w:t>
            </w:r>
            <w:proofErr w:type="spellStart"/>
            <w:r w:rsidRPr="002331C1">
              <w:rPr>
                <w:rFonts w:ascii="Century Gothic" w:hAnsi="Century Gothic" w:cs="Century Gothic"/>
                <w:color w:val="000000"/>
                <w:sz w:val="20"/>
              </w:rPr>
              <w:t>mātauranga</w:t>
            </w:r>
            <w:proofErr w:type="spellEnd"/>
            <w:r w:rsidRPr="002331C1">
              <w:rPr>
                <w:rFonts w:ascii="Century Gothic" w:hAnsi="Century Gothic" w:cs="Century Gothic"/>
                <w:color w:val="000000"/>
                <w:sz w:val="20"/>
              </w:rPr>
              <w:t xml:space="preserve"> Māori (Māori knowledge, see Appendix 2) is used. </w:t>
            </w:r>
          </w:p>
          <w:p w14:paraId="659C30CF" w14:textId="77777777" w:rsidR="00EA29C5" w:rsidRPr="002331C1" w:rsidRDefault="00EA29C5" w:rsidP="00EA29C5">
            <w:pPr>
              <w:numPr>
                <w:ilvl w:val="0"/>
                <w:numId w:val="11"/>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Māori are not associated with the research process (e.g. not on any research management / advisory / governance panels, it is not inclusive of Māori land or institutions, nor the subject of any component of the research). </w:t>
            </w:r>
          </w:p>
          <w:p w14:paraId="340962BF" w14:textId="77777777" w:rsidR="00EA29C5" w:rsidRPr="002331C1" w:rsidRDefault="00EA29C5" w:rsidP="00EA29C5">
            <w:pPr>
              <w:numPr>
                <w:ilvl w:val="0"/>
                <w:numId w:val="11"/>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Includes research towards health outcomes in which Māori may be overrepresented but the solution will benefit all people suffering from the disease.</w:t>
            </w:r>
          </w:p>
          <w:p w14:paraId="671E024A" w14:textId="77777777" w:rsidR="00EA29C5" w:rsidRPr="002331C1" w:rsidRDefault="00EA29C5" w:rsidP="00EA29C5">
            <w:pPr>
              <w:numPr>
                <w:ilvl w:val="0"/>
                <w:numId w:val="11"/>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It could include work that contributes to Māori aspirations and outcomes, but not only relevant to Māori.</w:t>
            </w:r>
          </w:p>
          <w:p w14:paraId="054AC6F9" w14:textId="77777777" w:rsidR="00EA29C5" w:rsidRPr="002331C1" w:rsidRDefault="00EA29C5" w:rsidP="00EA29C5">
            <w:pPr>
              <w:numPr>
                <w:ilvl w:val="0"/>
                <w:numId w:val="11"/>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Examples of work in this category could be new chemistry methodologies or development of new techniques in molecular or cell biology that are applicable to wide areas of science. </w:t>
            </w:r>
          </w:p>
        </w:tc>
      </w:tr>
      <w:tr w:rsidR="00EA29C5" w:rsidRPr="00B6047A" w14:paraId="3A2969DE" w14:textId="77777777" w:rsidTr="00B564A3">
        <w:tc>
          <w:tcPr>
            <w:tcW w:w="2122" w:type="dxa"/>
          </w:tcPr>
          <w:p w14:paraId="00381DE9" w14:textId="77777777" w:rsidR="00EA29C5" w:rsidRPr="002331C1" w:rsidRDefault="00EA29C5" w:rsidP="00B564A3">
            <w:pPr>
              <w:spacing w:after="200" w:line="280" w:lineRule="exact"/>
              <w:rPr>
                <w:rFonts w:ascii="Century Gothic" w:hAnsi="Century Gothic" w:cs="Century Gothic"/>
                <w:b/>
                <w:bCs/>
                <w:sz w:val="20"/>
              </w:rPr>
            </w:pPr>
            <w:r w:rsidRPr="002331C1">
              <w:rPr>
                <w:rFonts w:ascii="Century Gothic" w:hAnsi="Century Gothic" w:cs="Century Gothic"/>
                <w:b/>
                <w:bCs/>
                <w:sz w:val="20"/>
              </w:rPr>
              <w:t>B Research specifically relevant to Māori and research involving Māori</w:t>
            </w:r>
          </w:p>
        </w:tc>
        <w:tc>
          <w:tcPr>
            <w:tcW w:w="11828" w:type="dxa"/>
          </w:tcPr>
          <w:p w14:paraId="03E035A9"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The research relates to conditions that are more prevalent in Māori populations, and/or conditions which Māori are more susceptible to than the general population (e.g. gout, stomach cancers and kidney failure).</w:t>
            </w:r>
          </w:p>
          <w:p w14:paraId="4B7748D8"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proofErr w:type="spellStart"/>
            <w:r w:rsidRPr="002331C1">
              <w:rPr>
                <w:rFonts w:ascii="Century Gothic" w:hAnsi="Century Gothic" w:cs="Century Gothic"/>
                <w:color w:val="000000"/>
                <w:sz w:val="20"/>
              </w:rPr>
              <w:t>Mātauranga</w:t>
            </w:r>
            <w:proofErr w:type="spellEnd"/>
            <w:r w:rsidRPr="002331C1">
              <w:rPr>
                <w:rFonts w:ascii="Century Gothic" w:hAnsi="Century Gothic" w:cs="Century Gothic"/>
                <w:color w:val="000000"/>
                <w:sz w:val="20"/>
              </w:rPr>
              <w:t xml:space="preserve"> Māori may be incorporated in the research but is not central to the research. </w:t>
            </w:r>
          </w:p>
          <w:p w14:paraId="3A327460"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Research is specifically and directly relevant to Māori and Māori are involved in the design and/or undertaking of the research. </w:t>
            </w:r>
          </w:p>
          <w:p w14:paraId="3CA75BC5"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The work typically contributes to Māori (e.g. iwi / hapū /organisations) aspirations and outcomes.</w:t>
            </w:r>
          </w:p>
          <w:p w14:paraId="7B7866AF"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This could also include diseases that are predominantly relevant to Māori. </w:t>
            </w:r>
          </w:p>
          <w:p w14:paraId="55084AC6" w14:textId="77777777" w:rsidR="00EA29C5" w:rsidRPr="002331C1" w:rsidRDefault="00EA29C5" w:rsidP="00EA29C5">
            <w:pPr>
              <w:numPr>
                <w:ilvl w:val="0"/>
                <w:numId w:val="10"/>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Examples of this could include studies where Māori participants are involved in clinical studies or in precision medicine studies.  </w:t>
            </w:r>
          </w:p>
        </w:tc>
      </w:tr>
      <w:tr w:rsidR="00EA29C5" w:rsidRPr="00B6047A" w14:paraId="0D95B1DD" w14:textId="77777777" w:rsidTr="002331C1">
        <w:trPr>
          <w:trHeight w:val="699"/>
        </w:trPr>
        <w:tc>
          <w:tcPr>
            <w:tcW w:w="2122" w:type="dxa"/>
          </w:tcPr>
          <w:p w14:paraId="61CF3E9E" w14:textId="77777777" w:rsidR="00EA29C5" w:rsidRPr="002331C1" w:rsidRDefault="00EA29C5" w:rsidP="00B564A3">
            <w:pPr>
              <w:spacing w:after="200" w:line="280" w:lineRule="exact"/>
              <w:rPr>
                <w:rFonts w:ascii="Century Gothic" w:hAnsi="Century Gothic" w:cs="Century Gothic"/>
                <w:b/>
                <w:bCs/>
                <w:sz w:val="20"/>
              </w:rPr>
            </w:pPr>
            <w:r w:rsidRPr="002331C1">
              <w:rPr>
                <w:rFonts w:ascii="Century Gothic" w:hAnsi="Century Gothic" w:cs="Century Gothic"/>
                <w:b/>
                <w:bCs/>
                <w:sz w:val="20"/>
              </w:rPr>
              <w:t xml:space="preserve">C </w:t>
            </w:r>
            <w:proofErr w:type="spellStart"/>
            <w:r w:rsidRPr="002331C1">
              <w:rPr>
                <w:rFonts w:ascii="Century Gothic" w:hAnsi="Century Gothic" w:cs="Century Gothic"/>
                <w:b/>
                <w:bCs/>
                <w:sz w:val="20"/>
              </w:rPr>
              <w:t>Ma</w:t>
            </w:r>
            <w:r w:rsidRPr="003700CE">
              <w:rPr>
                <w:rFonts w:ascii="Arial" w:hAnsi="Arial" w:cs="Arial"/>
                <w:b/>
                <w:bCs/>
                <w:sz w:val="20"/>
              </w:rPr>
              <w:t>̄</w:t>
            </w:r>
            <w:r w:rsidRPr="002331C1">
              <w:rPr>
                <w:rFonts w:ascii="Century Gothic" w:hAnsi="Century Gothic" w:cs="Century Gothic"/>
                <w:b/>
                <w:bCs/>
                <w:sz w:val="20"/>
              </w:rPr>
              <w:t>ori-centred</w:t>
            </w:r>
            <w:proofErr w:type="spellEnd"/>
            <w:r w:rsidRPr="002331C1">
              <w:rPr>
                <w:rFonts w:ascii="Century Gothic" w:hAnsi="Century Gothic" w:cs="Century Gothic"/>
                <w:b/>
                <w:bCs/>
                <w:sz w:val="20"/>
              </w:rPr>
              <w:t xml:space="preserve"> research and </w:t>
            </w:r>
            <w:proofErr w:type="spellStart"/>
            <w:r w:rsidRPr="002331C1">
              <w:rPr>
                <w:rFonts w:ascii="Century Gothic" w:hAnsi="Century Gothic" w:cs="Century Gothic"/>
                <w:b/>
                <w:bCs/>
                <w:sz w:val="20"/>
              </w:rPr>
              <w:t>kaupapa</w:t>
            </w:r>
            <w:proofErr w:type="spellEnd"/>
            <w:r w:rsidRPr="002331C1">
              <w:rPr>
                <w:rFonts w:ascii="Century Gothic" w:hAnsi="Century Gothic" w:cs="Century Gothic"/>
                <w:b/>
                <w:bCs/>
                <w:sz w:val="20"/>
              </w:rPr>
              <w:t xml:space="preserve"> </w:t>
            </w:r>
            <w:proofErr w:type="spellStart"/>
            <w:r w:rsidRPr="002331C1">
              <w:rPr>
                <w:rFonts w:ascii="Century Gothic" w:hAnsi="Century Gothic" w:cs="Century Gothic"/>
                <w:b/>
                <w:bCs/>
                <w:sz w:val="20"/>
              </w:rPr>
              <w:t>Ma</w:t>
            </w:r>
            <w:r w:rsidRPr="003700CE">
              <w:rPr>
                <w:rFonts w:ascii="Arial" w:hAnsi="Arial" w:cs="Arial"/>
                <w:b/>
                <w:bCs/>
                <w:sz w:val="20"/>
              </w:rPr>
              <w:t>̄</w:t>
            </w:r>
            <w:r w:rsidRPr="002331C1">
              <w:rPr>
                <w:rFonts w:ascii="Century Gothic" w:hAnsi="Century Gothic" w:cs="Century Gothic"/>
                <w:b/>
                <w:bCs/>
                <w:sz w:val="20"/>
              </w:rPr>
              <w:t>ori</w:t>
            </w:r>
            <w:proofErr w:type="spellEnd"/>
            <w:r w:rsidRPr="002331C1">
              <w:rPr>
                <w:rFonts w:ascii="Century Gothic" w:hAnsi="Century Gothic" w:cs="Century Gothic"/>
                <w:b/>
                <w:bCs/>
                <w:sz w:val="20"/>
              </w:rPr>
              <w:t xml:space="preserve"> research</w:t>
            </w:r>
          </w:p>
        </w:tc>
        <w:tc>
          <w:tcPr>
            <w:tcW w:w="11828" w:type="dxa"/>
          </w:tcPr>
          <w:p w14:paraId="66A20C7C" w14:textId="77777777" w:rsidR="00EA29C5" w:rsidRPr="002331C1" w:rsidRDefault="00EA29C5" w:rsidP="00EA29C5">
            <w:pPr>
              <w:numPr>
                <w:ilvl w:val="0"/>
                <w:numId w:val="9"/>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The research is Māori led, and where </w:t>
            </w:r>
            <w:proofErr w:type="spellStart"/>
            <w:r w:rsidRPr="002331C1">
              <w:rPr>
                <w:rFonts w:ascii="Century Gothic" w:hAnsi="Century Gothic" w:cs="Century Gothic"/>
                <w:color w:val="000000"/>
                <w:sz w:val="20"/>
              </w:rPr>
              <w:t>mātauranga</w:t>
            </w:r>
            <w:proofErr w:type="spellEnd"/>
            <w:r w:rsidRPr="002331C1">
              <w:rPr>
                <w:rFonts w:ascii="Century Gothic" w:hAnsi="Century Gothic" w:cs="Century Gothic"/>
                <w:color w:val="000000"/>
                <w:sz w:val="20"/>
              </w:rPr>
              <w:t xml:space="preserve"> Māori is either a central focus of the research or is used alongside other knowledges (e.g. through frameworks, models, methods, tools, etc.). </w:t>
            </w:r>
          </w:p>
          <w:p w14:paraId="71C5F01F" w14:textId="77777777" w:rsidR="00EA29C5" w:rsidRPr="002331C1" w:rsidRDefault="00EA29C5" w:rsidP="00EA29C5">
            <w:pPr>
              <w:numPr>
                <w:ilvl w:val="0"/>
                <w:numId w:val="9"/>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Kaupapa Māori research may be a key focus of the research, in which case </w:t>
            </w:r>
            <w:proofErr w:type="spellStart"/>
            <w:r w:rsidRPr="002331C1">
              <w:rPr>
                <w:rFonts w:ascii="Century Gothic" w:hAnsi="Century Gothic" w:cs="Century Gothic"/>
                <w:color w:val="000000"/>
                <w:sz w:val="20"/>
              </w:rPr>
              <w:t>mātauranga</w:t>
            </w:r>
            <w:proofErr w:type="spellEnd"/>
            <w:r w:rsidRPr="002331C1">
              <w:rPr>
                <w:rFonts w:ascii="Century Gothic" w:hAnsi="Century Gothic" w:cs="Century Gothic"/>
                <w:color w:val="000000"/>
                <w:sz w:val="20"/>
              </w:rPr>
              <w:t xml:space="preserve"> Māori is incorporated and </w:t>
            </w:r>
            <w:r w:rsidRPr="002331C1">
              <w:rPr>
                <w:rFonts w:ascii="Century Gothic" w:hAnsi="Century Gothic" w:cs="Century Gothic"/>
                <w:color w:val="000000"/>
                <w:sz w:val="20"/>
              </w:rPr>
              <w:pgNum/>
            </w:r>
            <w:proofErr w:type="spellStart"/>
            <w:r w:rsidRPr="002331C1">
              <w:rPr>
                <w:rFonts w:ascii="Century Gothic" w:hAnsi="Century Gothic" w:cs="Century Gothic"/>
                <w:color w:val="000000"/>
                <w:sz w:val="20"/>
              </w:rPr>
              <w:t>ea</w:t>
            </w:r>
            <w:proofErr w:type="spellEnd"/>
            <w:r w:rsidRPr="002331C1">
              <w:rPr>
                <w:rFonts w:ascii="Century Gothic" w:hAnsi="Century Gothic" w:cs="Century Gothic"/>
                <w:color w:val="000000"/>
                <w:sz w:val="20"/>
              </w:rPr>
              <w:t xml:space="preserve"> o Māori and Māori philosophies and principles ground the work.  This type of work would be expected to be led by Māori researchers with cultural fluency and knowledge.</w:t>
            </w:r>
          </w:p>
          <w:p w14:paraId="5199D7DC" w14:textId="77777777" w:rsidR="00EA29C5" w:rsidRPr="002331C1" w:rsidRDefault="00EA29C5" w:rsidP="00EA29C5">
            <w:pPr>
              <w:numPr>
                <w:ilvl w:val="0"/>
                <w:numId w:val="9"/>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Māori-centred research may be collaborative or consultative, with direct input from Māori groups, commonly including Māori researchers or a collaboration with Māori researchers or researchers under the guidance/mentoring of Māori. </w:t>
            </w:r>
          </w:p>
          <w:p w14:paraId="15FB03D7" w14:textId="77777777" w:rsidR="00EA29C5" w:rsidRPr="002331C1" w:rsidRDefault="00EA29C5" w:rsidP="00EA29C5">
            <w:pPr>
              <w:numPr>
                <w:ilvl w:val="0"/>
                <w:numId w:val="9"/>
              </w:numPr>
              <w:spacing w:before="100" w:beforeAutospacing="1" w:after="10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lastRenderedPageBreak/>
              <w:t>There is alignment with and contribution to Māori (e.g., iwi / hapū, organisations) aspirations, that is appropriate for the research being undertaken.</w:t>
            </w:r>
          </w:p>
          <w:p w14:paraId="59CF1EAE" w14:textId="77777777" w:rsidR="00EA29C5" w:rsidRPr="002331C1" w:rsidRDefault="00EA29C5" w:rsidP="00EA29C5">
            <w:pPr>
              <w:numPr>
                <w:ilvl w:val="0"/>
                <w:numId w:val="9"/>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The work contributes to Māori (e.g. iwi/hapū organisations) aspirations and outcomes and is likely to be mana enhancing.</w:t>
            </w:r>
          </w:p>
          <w:p w14:paraId="79D8CF4D" w14:textId="77777777" w:rsidR="00EA29C5" w:rsidRPr="002331C1" w:rsidRDefault="00EA29C5" w:rsidP="00EA29C5">
            <w:pPr>
              <w:numPr>
                <w:ilvl w:val="0"/>
                <w:numId w:val="9"/>
              </w:numPr>
              <w:spacing w:beforeAutospacing="1" w:after="120" w:afterAutospacing="1" w:line="280" w:lineRule="exact"/>
              <w:rPr>
                <w:rFonts w:ascii="Century Gothic" w:hAnsi="Century Gothic" w:cs="Century Gothic"/>
                <w:color w:val="000000"/>
                <w:sz w:val="20"/>
              </w:rPr>
            </w:pPr>
            <w:r w:rsidRPr="002331C1">
              <w:rPr>
                <w:rFonts w:ascii="Century Gothic" w:hAnsi="Century Gothic" w:cs="Century Gothic"/>
                <w:color w:val="000000"/>
                <w:sz w:val="20"/>
              </w:rPr>
              <w:t xml:space="preserve">Examples could include specific Māori genome studies, whakapapa links, the relationship between genetic adaptation and Māori traditional environments. </w:t>
            </w:r>
          </w:p>
        </w:tc>
      </w:tr>
    </w:tbl>
    <w:p w14:paraId="42D52C8C" w14:textId="77777777" w:rsidR="00EA29C5" w:rsidRPr="00B6047A" w:rsidRDefault="00EA29C5" w:rsidP="00EA29C5">
      <w:pPr>
        <w:spacing w:after="120" w:line="280" w:lineRule="exact"/>
        <w:rPr>
          <w:rFonts w:ascii="Century Gothic" w:eastAsia="Century Gothic" w:hAnsi="Century Gothic" w:cs="Century Gothic"/>
          <w:sz w:val="20"/>
          <w:lang w:val="en-NZ"/>
        </w:rPr>
      </w:pPr>
    </w:p>
    <w:p w14:paraId="071AD8B8" w14:textId="77777777" w:rsidR="00EA29C5" w:rsidRPr="00B6047A" w:rsidRDefault="00EA29C5" w:rsidP="00EA29C5">
      <w:pPr>
        <w:spacing w:after="120" w:line="280" w:lineRule="exact"/>
        <w:rPr>
          <w:rFonts w:ascii="Century Gothic" w:eastAsia="Century Gothic" w:hAnsi="Century Gothic" w:cs="Century Gothic"/>
          <w:sz w:val="20"/>
          <w:lang w:val="en-NZ"/>
        </w:rPr>
      </w:pPr>
      <w:r w:rsidRPr="00B6047A">
        <w:rPr>
          <w:rFonts w:ascii="Century Gothic" w:eastAsia="Century Gothic" w:hAnsi="Century Gothic" w:cs="Century Gothic"/>
          <w:sz w:val="20"/>
          <w:lang w:val="en-NZ"/>
        </w:rPr>
        <w:t xml:space="preserve">As seen in the </w:t>
      </w:r>
      <w:proofErr w:type="spellStart"/>
      <w:r w:rsidRPr="00B6047A">
        <w:rPr>
          <w:rFonts w:ascii="Century Gothic" w:eastAsia="Century Gothic" w:hAnsi="Century Gothic" w:cs="Century Gothic"/>
          <w:sz w:val="20"/>
          <w:lang w:val="en-NZ"/>
        </w:rPr>
        <w:t>Tiriti</w:t>
      </w:r>
      <w:proofErr w:type="spellEnd"/>
      <w:r w:rsidRPr="00B6047A">
        <w:rPr>
          <w:rFonts w:ascii="Century Gothic" w:eastAsia="Century Gothic" w:hAnsi="Century Gothic" w:cs="Century Gothic"/>
          <w:sz w:val="20"/>
          <w:lang w:val="en-NZ"/>
        </w:rPr>
        <w:t xml:space="preserve"> principles tables below, where research is not seen to have any specific Māori component, Māori involvement is around high-level decision-making, rather than on-the-ground implementation.</w:t>
      </w:r>
      <w:r>
        <w:rPr>
          <w:rFonts w:ascii="Century Gothic" w:eastAsia="Century Gothic" w:hAnsi="Century Gothic" w:cs="Century Gothic"/>
          <w:sz w:val="20"/>
          <w:lang w:val="en-NZ"/>
        </w:rPr>
        <w:t xml:space="preserve"> </w:t>
      </w:r>
      <w:r w:rsidRPr="00B6047A">
        <w:rPr>
          <w:rFonts w:ascii="Century Gothic" w:eastAsia="Century Gothic" w:hAnsi="Century Gothic" w:cs="Century Gothic"/>
          <w:sz w:val="20"/>
          <w:lang w:val="en-NZ"/>
        </w:rPr>
        <w:t xml:space="preserve"> On the other hand, research that is more specific to Māori requires more formal engagement with Māori.</w:t>
      </w:r>
    </w:p>
    <w:p w14:paraId="2BF8C6DD" w14:textId="77777777" w:rsidR="00EA29C5" w:rsidRPr="00B6047A" w:rsidRDefault="00EA29C5" w:rsidP="00EA29C5">
      <w:pPr>
        <w:spacing w:after="120" w:line="280" w:lineRule="exact"/>
        <w:rPr>
          <w:rFonts w:ascii="Century Gothic" w:eastAsia="Century Gothic" w:hAnsi="Century Gothic" w:cs="Century Gothic"/>
          <w:b/>
          <w:bCs/>
          <w:sz w:val="20"/>
          <w:lang w:val="en-NZ"/>
        </w:rPr>
      </w:pPr>
    </w:p>
    <w:p w14:paraId="3BE90B2D" w14:textId="77777777" w:rsidR="00E52C07" w:rsidRDefault="00E52C07">
      <w:pPr>
        <w:rPr>
          <w:rFonts w:ascii="Century Gothic" w:eastAsia="Century Gothic" w:hAnsi="Century Gothic" w:cs="Century Gothic"/>
          <w:b/>
          <w:bCs/>
          <w:sz w:val="20"/>
          <w:szCs w:val="20"/>
          <w:lang w:val="en-NZ"/>
        </w:rPr>
      </w:pPr>
      <w:r>
        <w:rPr>
          <w:rFonts w:ascii="Century Gothic" w:eastAsia="Century Gothic" w:hAnsi="Century Gothic" w:cs="Century Gothic"/>
          <w:b/>
          <w:bCs/>
          <w:sz w:val="20"/>
          <w:szCs w:val="20"/>
          <w:lang w:val="en-NZ"/>
        </w:rPr>
        <w:br w:type="page"/>
      </w:r>
    </w:p>
    <w:p w14:paraId="114D97BF" w14:textId="2E6A37BD" w:rsidR="00E52C07" w:rsidRPr="00E52C07" w:rsidRDefault="00E52C07" w:rsidP="00E52C07">
      <w:pPr>
        <w:widowControl/>
        <w:autoSpaceDE/>
        <w:autoSpaceDN/>
        <w:spacing w:after="12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lastRenderedPageBreak/>
        <w:t xml:space="preserve">Table Two: </w:t>
      </w:r>
      <w:r w:rsidRPr="00E52C07">
        <w:rPr>
          <w:rFonts w:ascii="Century Gothic" w:eastAsia="Century Gothic" w:hAnsi="Century Gothic" w:cs="Century Gothic"/>
          <w:color w:val="000000"/>
          <w:sz w:val="20"/>
          <w:szCs w:val="20"/>
          <w:lang w:val="en-NZ"/>
        </w:rPr>
        <w:t xml:space="preserve">The application of </w:t>
      </w:r>
      <w:proofErr w:type="spellStart"/>
      <w:r w:rsidRPr="00E52C07">
        <w:rPr>
          <w:rFonts w:ascii="Century Gothic" w:eastAsia="Century Gothic" w:hAnsi="Century Gothic" w:cs="Century Gothic"/>
          <w:b/>
          <w:bCs/>
          <w:color w:val="000000"/>
          <w:sz w:val="20"/>
          <w:szCs w:val="20"/>
          <w:lang w:val="en-NZ"/>
        </w:rPr>
        <w:t>Tiriti</w:t>
      </w:r>
      <w:proofErr w:type="spellEnd"/>
      <w:r w:rsidRPr="00E52C07">
        <w:rPr>
          <w:rFonts w:ascii="Century Gothic" w:eastAsia="Century Gothic" w:hAnsi="Century Gothic" w:cs="Century Gothic"/>
          <w:b/>
          <w:bCs/>
          <w:color w:val="000000"/>
          <w:sz w:val="20"/>
          <w:szCs w:val="20"/>
          <w:lang w:val="en-NZ"/>
        </w:rPr>
        <w:t xml:space="preserve"> mana principles</w:t>
      </w:r>
      <w:r w:rsidRPr="00E52C07">
        <w:rPr>
          <w:rFonts w:ascii="Century Gothic" w:eastAsia="Century Gothic" w:hAnsi="Century Gothic" w:cs="Century Gothic"/>
          <w:color w:val="000000"/>
          <w:sz w:val="20"/>
          <w:szCs w:val="20"/>
          <w:lang w:val="en-NZ"/>
        </w:rPr>
        <w:t xml:space="preserve"> can be viewed in accordance with the table below.  An explanation of numbers 1.1- 3.1 can be found below the table.  </w:t>
      </w:r>
      <w:r w:rsidRPr="00E52C07">
        <w:rPr>
          <w:rFonts w:ascii="Century Gothic" w:eastAsia="Century Gothic" w:hAnsi="Century Gothic" w:cs="Century Gothic"/>
          <w:sz w:val="20"/>
          <w:szCs w:val="20"/>
          <w:lang w:val="en-NZ"/>
        </w:rPr>
        <w:t>The following colours indicate the requirement level in each instance:</w:t>
      </w:r>
    </w:p>
    <w:p w14:paraId="68C33F52" w14:textId="77777777" w:rsidR="00E52C07" w:rsidRPr="00E52C07" w:rsidRDefault="00E52C07" w:rsidP="00E52C07">
      <w:pPr>
        <w:widowControl/>
        <w:autoSpaceDE/>
        <w:autoSpaceDN/>
        <w:spacing w:after="120" w:line="280" w:lineRule="exact"/>
        <w:rPr>
          <w:rFonts w:ascii="Century Gothic" w:eastAsia="Century Gothic" w:hAnsi="Century Gothic" w:cs="Century Gothic"/>
          <w:sz w:val="20"/>
          <w:szCs w:val="20"/>
          <w:lang w:val="en-NZ"/>
        </w:rPr>
      </w:pPr>
    </w:p>
    <w:tbl>
      <w:tblPr>
        <w:tblStyle w:val="TableGrid1"/>
        <w:tblpPr w:leftFromText="180" w:rightFromText="180" w:vertAnchor="text" w:horzAnchor="margin" w:tblpXSpec="center" w:tblpY="52"/>
        <w:tblOverlap w:val="never"/>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151"/>
        <w:gridCol w:w="400"/>
        <w:gridCol w:w="851"/>
        <w:gridCol w:w="1984"/>
        <w:gridCol w:w="426"/>
        <w:gridCol w:w="850"/>
        <w:gridCol w:w="2977"/>
      </w:tblGrid>
      <w:tr w:rsidR="00E52C07" w:rsidRPr="00E52C07" w14:paraId="6EF5EC3A" w14:textId="77777777" w:rsidTr="00B564A3">
        <w:trPr>
          <w:trHeight w:val="274"/>
        </w:trPr>
        <w:tc>
          <w:tcPr>
            <w:tcW w:w="846" w:type="dxa"/>
            <w:shd w:val="clear" w:color="auto" w:fill="FFFFAB"/>
          </w:tcPr>
          <w:p w14:paraId="25610AD3"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2151" w:type="dxa"/>
          </w:tcPr>
          <w:p w14:paraId="16E918EC"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Considered</w:t>
            </w:r>
          </w:p>
        </w:tc>
        <w:tc>
          <w:tcPr>
            <w:tcW w:w="400" w:type="dxa"/>
          </w:tcPr>
          <w:p w14:paraId="076DC82A"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851" w:type="dxa"/>
            <w:shd w:val="clear" w:color="auto" w:fill="FFCB7D"/>
          </w:tcPr>
          <w:p w14:paraId="19A4B01A"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1984" w:type="dxa"/>
          </w:tcPr>
          <w:p w14:paraId="5E049BCD"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Action required</w:t>
            </w:r>
          </w:p>
        </w:tc>
        <w:tc>
          <w:tcPr>
            <w:tcW w:w="426" w:type="dxa"/>
          </w:tcPr>
          <w:p w14:paraId="71D9F6D0"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850" w:type="dxa"/>
            <w:shd w:val="clear" w:color="auto" w:fill="FFCCCC"/>
          </w:tcPr>
          <w:p w14:paraId="51DE869E"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2977" w:type="dxa"/>
          </w:tcPr>
          <w:p w14:paraId="60DF3B61"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Mandatory requirement</w:t>
            </w:r>
          </w:p>
        </w:tc>
      </w:tr>
    </w:tbl>
    <w:p w14:paraId="6B744DCD" w14:textId="77777777" w:rsidR="00E52C07" w:rsidRPr="00E52C07" w:rsidRDefault="00E52C07" w:rsidP="00E52C07">
      <w:pPr>
        <w:widowControl/>
        <w:autoSpaceDE/>
        <w:autoSpaceDN/>
        <w:spacing w:after="120" w:line="280" w:lineRule="exact"/>
        <w:rPr>
          <w:rFonts w:ascii="Century Gothic" w:eastAsia="Century Gothic" w:hAnsi="Century Gothic" w:cs="Century Gothic"/>
          <w:sz w:val="20"/>
          <w:szCs w:val="20"/>
          <w:lang w:val="en-NZ"/>
        </w:rPr>
      </w:pPr>
    </w:p>
    <w:p w14:paraId="67D99E7E" w14:textId="77777777" w:rsidR="00E52C07" w:rsidRPr="00E52C07" w:rsidRDefault="00E52C07" w:rsidP="00E52C07">
      <w:pPr>
        <w:widowControl/>
        <w:autoSpaceDE/>
        <w:autoSpaceDN/>
        <w:spacing w:after="120" w:line="280" w:lineRule="exact"/>
        <w:rPr>
          <w:rFonts w:ascii="Century Gothic" w:eastAsia="Century Gothic" w:hAnsi="Century Gothic" w:cs="Century Gothic"/>
          <w:sz w:val="20"/>
          <w:szCs w:val="20"/>
          <w:lang w:val="en-N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5"/>
        <w:gridCol w:w="3328"/>
        <w:gridCol w:w="4134"/>
        <w:gridCol w:w="1559"/>
        <w:gridCol w:w="1666"/>
        <w:gridCol w:w="1657"/>
      </w:tblGrid>
      <w:tr w:rsidR="00E52C07" w:rsidRPr="00E52C07" w14:paraId="122C5AE8" w14:textId="77777777" w:rsidTr="00B564A3">
        <w:trPr>
          <w:trHeight w:val="973"/>
        </w:trPr>
        <w:tc>
          <w:tcPr>
            <w:tcW w:w="575" w:type="pct"/>
            <w:shd w:val="clear" w:color="auto" w:fill="B6DEE9"/>
            <w:tcMar>
              <w:top w:w="0" w:type="dxa"/>
              <w:left w:w="108" w:type="dxa"/>
              <w:bottom w:w="0" w:type="dxa"/>
              <w:right w:w="108" w:type="dxa"/>
            </w:tcMar>
            <w:vAlign w:val="center"/>
          </w:tcPr>
          <w:p w14:paraId="22A22CB4"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b/>
                <w:bCs/>
                <w:sz w:val="20"/>
                <w:szCs w:val="20"/>
                <w:lang w:val="en-NZ"/>
              </w:rPr>
            </w:pPr>
            <w:proofErr w:type="spellStart"/>
            <w:r w:rsidRPr="00E52C07">
              <w:rPr>
                <w:rFonts w:ascii="Century Gothic" w:eastAsia="Century Gothic" w:hAnsi="Century Gothic" w:cs="Century Gothic"/>
                <w:b/>
                <w:bCs/>
                <w:sz w:val="20"/>
                <w:szCs w:val="20"/>
                <w:lang w:val="en-NZ"/>
              </w:rPr>
              <w:t>Tiriti</w:t>
            </w:r>
            <w:proofErr w:type="spellEnd"/>
            <w:r w:rsidRPr="00E52C07">
              <w:rPr>
                <w:rFonts w:ascii="Century Gothic" w:eastAsia="Century Gothic" w:hAnsi="Century Gothic" w:cs="Century Gothic"/>
                <w:b/>
                <w:bCs/>
                <w:sz w:val="20"/>
                <w:szCs w:val="20"/>
                <w:lang w:val="en-NZ"/>
              </w:rPr>
              <w:t xml:space="preserve"> Expression</w:t>
            </w:r>
          </w:p>
        </w:tc>
        <w:tc>
          <w:tcPr>
            <w:tcW w:w="1193" w:type="pct"/>
            <w:shd w:val="clear" w:color="auto" w:fill="B6DEE9"/>
            <w:tcMar>
              <w:top w:w="0" w:type="dxa"/>
              <w:left w:w="108" w:type="dxa"/>
              <w:bottom w:w="0" w:type="dxa"/>
              <w:right w:w="108" w:type="dxa"/>
            </w:tcMar>
            <w:vAlign w:val="center"/>
          </w:tcPr>
          <w:p w14:paraId="4299C291"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t>Interpretation in Health Research Space</w:t>
            </w:r>
          </w:p>
        </w:tc>
        <w:tc>
          <w:tcPr>
            <w:tcW w:w="1482" w:type="pct"/>
            <w:shd w:val="clear" w:color="auto" w:fill="B6DEE9"/>
          </w:tcPr>
          <w:p w14:paraId="1FCA11F7" w14:textId="77777777" w:rsidR="00E52C07" w:rsidRPr="00E52C07" w:rsidRDefault="00E52C07" w:rsidP="00E52C07">
            <w:pPr>
              <w:widowControl/>
              <w:autoSpaceDE/>
              <w:autoSpaceDN/>
              <w:spacing w:after="200" w:line="280" w:lineRule="exact"/>
              <w:ind w:right="67"/>
              <w:jc w:val="center"/>
              <w:rPr>
                <w:rFonts w:ascii="Century Gothic" w:eastAsia="Century Gothic" w:hAnsi="Century Gothic" w:cs="Century Gothic"/>
                <w:b/>
                <w:bCs/>
                <w:sz w:val="20"/>
                <w:szCs w:val="20"/>
                <w:lang w:val="en-NZ"/>
              </w:rPr>
            </w:pPr>
          </w:p>
          <w:p w14:paraId="261FE9AE" w14:textId="77777777" w:rsidR="00E52C07" w:rsidRPr="00E52C07" w:rsidRDefault="00E52C07" w:rsidP="00E52C07">
            <w:pPr>
              <w:widowControl/>
              <w:autoSpaceDE/>
              <w:autoSpaceDN/>
              <w:spacing w:after="200" w:line="280" w:lineRule="exact"/>
              <w:ind w:right="67"/>
              <w:jc w:val="center"/>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t>Examples of Implementation Actions</w:t>
            </w:r>
          </w:p>
        </w:tc>
        <w:tc>
          <w:tcPr>
            <w:tcW w:w="559" w:type="pct"/>
            <w:shd w:val="clear" w:color="auto" w:fill="B6DEE9"/>
          </w:tcPr>
          <w:p w14:paraId="31546D7C" w14:textId="77777777" w:rsidR="00E52C07" w:rsidRPr="00E52C07" w:rsidRDefault="00E52C07" w:rsidP="00E52C07">
            <w:pPr>
              <w:widowControl/>
              <w:autoSpaceDE/>
              <w:autoSpaceDN/>
              <w:spacing w:after="200" w:line="280" w:lineRule="exact"/>
              <w:ind w:left="-103" w:right="-115"/>
              <w:jc w:val="center"/>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t>A. Research of relevance to all peoples</w:t>
            </w:r>
          </w:p>
        </w:tc>
        <w:tc>
          <w:tcPr>
            <w:tcW w:w="597" w:type="pct"/>
            <w:shd w:val="clear" w:color="auto" w:fill="B6DEE9"/>
          </w:tcPr>
          <w:p w14:paraId="0EF90D82" w14:textId="77777777" w:rsidR="00E52C07" w:rsidRPr="00E52C07" w:rsidRDefault="00E52C07" w:rsidP="00E52C07">
            <w:pPr>
              <w:widowControl/>
              <w:autoSpaceDE/>
              <w:autoSpaceDN/>
              <w:spacing w:after="200" w:line="280" w:lineRule="exact"/>
              <w:ind w:left="-109" w:right="-108"/>
              <w:jc w:val="center"/>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t>B  Research specifically relevant to Māori and research involving Māori</w:t>
            </w:r>
          </w:p>
        </w:tc>
        <w:tc>
          <w:tcPr>
            <w:tcW w:w="594" w:type="pct"/>
            <w:shd w:val="clear" w:color="auto" w:fill="B6DEE9"/>
          </w:tcPr>
          <w:p w14:paraId="0387F771"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t>C  Māori-centred research and Kaupapa Māori research</w:t>
            </w:r>
          </w:p>
        </w:tc>
      </w:tr>
      <w:tr w:rsidR="00E52C07" w:rsidRPr="00E52C07" w14:paraId="53171367" w14:textId="77777777" w:rsidTr="00B564A3">
        <w:tc>
          <w:tcPr>
            <w:tcW w:w="575" w:type="pct"/>
            <w:vMerge w:val="restart"/>
            <w:tcMar>
              <w:top w:w="0" w:type="dxa"/>
              <w:left w:w="108" w:type="dxa"/>
              <w:bottom w:w="0" w:type="dxa"/>
              <w:right w:w="108" w:type="dxa"/>
            </w:tcMar>
            <w:vAlign w:val="center"/>
          </w:tcPr>
          <w:p w14:paraId="4AA83A3E" w14:textId="77777777" w:rsidR="00E52C07" w:rsidRPr="00E52C07" w:rsidRDefault="00E52C07" w:rsidP="00E52C07">
            <w:pPr>
              <w:widowControl/>
              <w:autoSpaceDE/>
              <w:autoSpaceDN/>
              <w:spacing w:after="200" w:line="280" w:lineRule="exact"/>
              <w:ind w:left="35" w:right="-105"/>
              <w:jc w:val="both"/>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t xml:space="preserve">Mana </w:t>
            </w:r>
            <w:proofErr w:type="spellStart"/>
            <w:r w:rsidRPr="00E52C07">
              <w:rPr>
                <w:rFonts w:ascii="Century Gothic" w:eastAsia="Century Gothic" w:hAnsi="Century Gothic" w:cs="Century Gothic"/>
                <w:b/>
                <w:bCs/>
                <w:sz w:val="20"/>
                <w:szCs w:val="20"/>
                <w:lang w:val="en-NZ"/>
              </w:rPr>
              <w:t>Whakahaere</w:t>
            </w:r>
            <w:proofErr w:type="spellEnd"/>
          </w:p>
          <w:p w14:paraId="32CF2CB3" w14:textId="77777777" w:rsidR="00E52C07" w:rsidRPr="00E52C07" w:rsidRDefault="00E52C07" w:rsidP="00E52C07">
            <w:pPr>
              <w:widowControl/>
              <w:autoSpaceDE/>
              <w:autoSpaceDN/>
              <w:spacing w:after="200" w:line="280" w:lineRule="exact"/>
              <w:jc w:val="both"/>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(Article I)</w:t>
            </w:r>
          </w:p>
        </w:tc>
        <w:tc>
          <w:tcPr>
            <w:tcW w:w="1193" w:type="pct"/>
            <w:vMerge w:val="restart"/>
            <w:tcMar>
              <w:top w:w="0" w:type="dxa"/>
              <w:left w:w="108" w:type="dxa"/>
              <w:bottom w:w="0" w:type="dxa"/>
              <w:right w:w="108" w:type="dxa"/>
            </w:tcMar>
            <w:vAlign w:val="center"/>
          </w:tcPr>
          <w:p w14:paraId="50F29024" w14:textId="77777777" w:rsidR="00E52C07" w:rsidRPr="00E52C07" w:rsidRDefault="00E52C07" w:rsidP="00E52C07">
            <w:pPr>
              <w:widowControl/>
              <w:autoSpaceDE/>
              <w:autoSpaceDN/>
              <w:spacing w:after="200" w:line="280" w:lineRule="exact"/>
              <w:ind w:left="36" w:right="22"/>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Effective and appropriate </w:t>
            </w:r>
            <w:proofErr w:type="spellStart"/>
            <w:r w:rsidRPr="00E52C07">
              <w:rPr>
                <w:rFonts w:ascii="Century Gothic" w:eastAsia="Century Gothic" w:hAnsi="Century Gothic" w:cs="Century Gothic"/>
                <w:sz w:val="20"/>
                <w:szCs w:val="20"/>
                <w:lang w:val="en-NZ"/>
              </w:rPr>
              <w:t>kaitiakitanga</w:t>
            </w:r>
            <w:proofErr w:type="spellEnd"/>
            <w:r w:rsidRPr="00E52C07">
              <w:rPr>
                <w:rFonts w:ascii="Century Gothic" w:eastAsia="Century Gothic" w:hAnsi="Century Gothic" w:cs="Century Gothic"/>
                <w:sz w:val="20"/>
                <w:szCs w:val="20"/>
                <w:lang w:val="en-NZ"/>
              </w:rPr>
              <w:t xml:space="preserve"> and stewardship.  Mana </w:t>
            </w:r>
            <w:proofErr w:type="spellStart"/>
            <w:r w:rsidRPr="00E52C07">
              <w:rPr>
                <w:rFonts w:ascii="Century Gothic" w:eastAsia="Century Gothic" w:hAnsi="Century Gothic" w:cs="Century Gothic"/>
                <w:sz w:val="20"/>
                <w:szCs w:val="20"/>
                <w:lang w:val="en-NZ"/>
              </w:rPr>
              <w:t>whakahaere</w:t>
            </w:r>
            <w:proofErr w:type="spellEnd"/>
            <w:r w:rsidRPr="00E52C07">
              <w:rPr>
                <w:rFonts w:ascii="Century Gothic" w:eastAsia="Century Gothic" w:hAnsi="Century Gothic" w:cs="Century Gothic"/>
                <w:sz w:val="20"/>
                <w:szCs w:val="20"/>
                <w:lang w:val="en-NZ"/>
              </w:rPr>
              <w:t xml:space="preserve"> is the exercise of control in accordance with </w:t>
            </w:r>
            <w:proofErr w:type="spellStart"/>
            <w:r w:rsidRPr="00E52C07">
              <w:rPr>
                <w:rFonts w:ascii="Century Gothic" w:eastAsia="Century Gothic" w:hAnsi="Century Gothic" w:cs="Century Gothic"/>
                <w:sz w:val="20"/>
                <w:szCs w:val="20"/>
                <w:lang w:val="en-NZ"/>
              </w:rPr>
              <w:t>mātauranga</w:t>
            </w:r>
            <w:proofErr w:type="spellEnd"/>
            <w:r w:rsidRPr="00E52C07">
              <w:rPr>
                <w:rFonts w:ascii="Century Gothic" w:eastAsia="Century Gothic" w:hAnsi="Century Gothic" w:cs="Century Gothic"/>
                <w:sz w:val="20"/>
                <w:szCs w:val="20"/>
                <w:lang w:val="en-NZ"/>
              </w:rPr>
              <w:t xml:space="preserve"> Māori. This goes beyond the management of assets and resources and towards enabling Māori aspirations for health and independence.</w:t>
            </w:r>
          </w:p>
        </w:tc>
        <w:tc>
          <w:tcPr>
            <w:tcW w:w="1482" w:type="pct"/>
          </w:tcPr>
          <w:p w14:paraId="04908900"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Māori voices are equally heard in governance and leadership decision-making roles.</w:t>
            </w:r>
          </w:p>
        </w:tc>
        <w:tc>
          <w:tcPr>
            <w:tcW w:w="559" w:type="pct"/>
            <w:shd w:val="clear" w:color="auto" w:fill="FFFFAB"/>
            <w:vAlign w:val="center"/>
          </w:tcPr>
          <w:p w14:paraId="37E48943" w14:textId="77777777" w:rsidR="00E52C07" w:rsidRPr="00E52C07" w:rsidRDefault="00E52C07" w:rsidP="00E52C07">
            <w:pPr>
              <w:widowControl/>
              <w:autoSpaceDE/>
              <w:autoSpaceDN/>
              <w:spacing w:after="200"/>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1.1</w:t>
            </w:r>
          </w:p>
        </w:tc>
        <w:tc>
          <w:tcPr>
            <w:tcW w:w="597" w:type="pct"/>
            <w:shd w:val="clear" w:color="auto" w:fill="FFCB7D"/>
            <w:vAlign w:val="center"/>
          </w:tcPr>
          <w:p w14:paraId="55729506"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2.1</w:t>
            </w:r>
          </w:p>
        </w:tc>
        <w:tc>
          <w:tcPr>
            <w:tcW w:w="594" w:type="pct"/>
            <w:vAlign w:val="center"/>
          </w:tcPr>
          <w:p w14:paraId="27CBDE2C"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color w:val="202124"/>
                <w:sz w:val="20"/>
                <w:szCs w:val="20"/>
                <w:lang w:val="en-NZ"/>
              </w:rPr>
            </w:pPr>
          </w:p>
        </w:tc>
      </w:tr>
      <w:tr w:rsidR="00E52C07" w:rsidRPr="00E52C07" w14:paraId="33126441" w14:textId="77777777" w:rsidTr="00B564A3">
        <w:tc>
          <w:tcPr>
            <w:tcW w:w="575" w:type="pct"/>
            <w:vMerge/>
            <w:tcMar>
              <w:top w:w="0" w:type="dxa"/>
              <w:left w:w="108" w:type="dxa"/>
              <w:bottom w:w="0" w:type="dxa"/>
              <w:right w:w="108" w:type="dxa"/>
            </w:tcMar>
            <w:vAlign w:val="center"/>
          </w:tcPr>
          <w:p w14:paraId="375032F5"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1ABFA0FF"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44900EC2"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Māori voices are equally heard in priority setting. </w:t>
            </w:r>
          </w:p>
        </w:tc>
        <w:tc>
          <w:tcPr>
            <w:tcW w:w="559" w:type="pct"/>
            <w:shd w:val="clear" w:color="auto" w:fill="FFFFAB"/>
            <w:vAlign w:val="center"/>
          </w:tcPr>
          <w:p w14:paraId="65930430" w14:textId="77777777" w:rsidR="00E52C07" w:rsidRPr="00E52C07" w:rsidRDefault="00E52C07" w:rsidP="00E52C07">
            <w:pPr>
              <w:widowControl/>
              <w:autoSpaceDE/>
              <w:autoSpaceDN/>
              <w:spacing w:after="200"/>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1.1</w:t>
            </w:r>
          </w:p>
        </w:tc>
        <w:tc>
          <w:tcPr>
            <w:tcW w:w="597" w:type="pct"/>
            <w:shd w:val="clear" w:color="auto" w:fill="FFCB7D"/>
            <w:vAlign w:val="center"/>
          </w:tcPr>
          <w:p w14:paraId="54148BD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2.1</w:t>
            </w:r>
          </w:p>
        </w:tc>
        <w:tc>
          <w:tcPr>
            <w:tcW w:w="594" w:type="pct"/>
            <w:shd w:val="clear" w:color="auto" w:fill="FFCCCC"/>
            <w:vAlign w:val="center"/>
          </w:tcPr>
          <w:p w14:paraId="334682B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2C3DE938" w14:textId="77777777" w:rsidTr="00B564A3">
        <w:tc>
          <w:tcPr>
            <w:tcW w:w="575" w:type="pct"/>
            <w:vMerge/>
            <w:tcMar>
              <w:top w:w="0" w:type="dxa"/>
              <w:left w:w="108" w:type="dxa"/>
              <w:bottom w:w="0" w:type="dxa"/>
              <w:right w:w="108" w:type="dxa"/>
            </w:tcMar>
            <w:vAlign w:val="center"/>
          </w:tcPr>
          <w:p w14:paraId="639CD20D"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12331EA8"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4E2BD604"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Māori aspirations are included in the objectives for each research area.</w:t>
            </w:r>
          </w:p>
        </w:tc>
        <w:tc>
          <w:tcPr>
            <w:tcW w:w="559" w:type="pct"/>
            <w:vAlign w:val="center"/>
          </w:tcPr>
          <w:p w14:paraId="02BE4022"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p>
        </w:tc>
        <w:tc>
          <w:tcPr>
            <w:tcW w:w="597" w:type="pct"/>
            <w:shd w:val="clear" w:color="auto" w:fill="FFCB7D"/>
            <w:vAlign w:val="center"/>
          </w:tcPr>
          <w:p w14:paraId="57AF024F"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6FF8861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141F5E04" w14:textId="77777777" w:rsidTr="00B564A3">
        <w:tc>
          <w:tcPr>
            <w:tcW w:w="575" w:type="pct"/>
            <w:vMerge/>
            <w:tcMar>
              <w:top w:w="0" w:type="dxa"/>
              <w:left w:w="108" w:type="dxa"/>
              <w:bottom w:w="0" w:type="dxa"/>
              <w:right w:w="108" w:type="dxa"/>
            </w:tcMar>
            <w:vAlign w:val="center"/>
          </w:tcPr>
          <w:p w14:paraId="5E28C55C"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5D284737"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6D40FF4A"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A definition of research that will be delivered in a manner inclusive of mana </w:t>
            </w:r>
            <w:proofErr w:type="spellStart"/>
            <w:r w:rsidRPr="00E52C07">
              <w:rPr>
                <w:rFonts w:ascii="Century Gothic" w:eastAsia="Century Gothic" w:hAnsi="Century Gothic" w:cs="Century Gothic"/>
                <w:sz w:val="20"/>
                <w:szCs w:val="20"/>
                <w:lang w:val="en-NZ"/>
              </w:rPr>
              <w:t>whakahaere</w:t>
            </w:r>
            <w:proofErr w:type="spellEnd"/>
            <w:r w:rsidRPr="00E52C07">
              <w:rPr>
                <w:rFonts w:ascii="Century Gothic" w:eastAsia="Century Gothic" w:hAnsi="Century Gothic" w:cs="Century Gothic"/>
                <w:sz w:val="20"/>
                <w:szCs w:val="20"/>
                <w:lang w:val="en-NZ"/>
              </w:rPr>
              <w:t>.</w:t>
            </w:r>
          </w:p>
        </w:tc>
        <w:tc>
          <w:tcPr>
            <w:tcW w:w="559" w:type="pct"/>
            <w:vAlign w:val="center"/>
          </w:tcPr>
          <w:p w14:paraId="718EB2D0"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p>
        </w:tc>
        <w:tc>
          <w:tcPr>
            <w:tcW w:w="597" w:type="pct"/>
            <w:shd w:val="clear" w:color="auto" w:fill="FFCB7D"/>
            <w:vAlign w:val="center"/>
          </w:tcPr>
          <w:p w14:paraId="0A6EDC5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5A088691"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65F14185" w14:textId="77777777" w:rsidTr="00B564A3">
        <w:tc>
          <w:tcPr>
            <w:tcW w:w="575" w:type="pct"/>
            <w:vMerge/>
            <w:tcMar>
              <w:top w:w="0" w:type="dxa"/>
              <w:left w:w="108" w:type="dxa"/>
              <w:bottom w:w="0" w:type="dxa"/>
              <w:right w:w="108" w:type="dxa"/>
            </w:tcMar>
            <w:vAlign w:val="center"/>
          </w:tcPr>
          <w:p w14:paraId="1266842A"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01E90864"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63F3A297"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Kaupapa Māori research is implemented by Māori researchers and by those under the guidance of Māori researchers.</w:t>
            </w:r>
          </w:p>
        </w:tc>
        <w:tc>
          <w:tcPr>
            <w:tcW w:w="559" w:type="pct"/>
            <w:vAlign w:val="center"/>
          </w:tcPr>
          <w:p w14:paraId="14B178E4"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p>
        </w:tc>
        <w:tc>
          <w:tcPr>
            <w:tcW w:w="597" w:type="pct"/>
            <w:vAlign w:val="center"/>
          </w:tcPr>
          <w:p w14:paraId="77777ADF"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4" w:type="pct"/>
            <w:shd w:val="clear" w:color="auto" w:fill="FFCCCC"/>
            <w:vAlign w:val="center"/>
          </w:tcPr>
          <w:p w14:paraId="3DB1B81F"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08804698" w14:textId="77777777" w:rsidTr="00B564A3">
        <w:tc>
          <w:tcPr>
            <w:tcW w:w="575" w:type="pct"/>
            <w:vMerge w:val="restart"/>
            <w:tcMar>
              <w:top w:w="0" w:type="dxa"/>
              <w:left w:w="108" w:type="dxa"/>
              <w:bottom w:w="0" w:type="dxa"/>
              <w:right w:w="108" w:type="dxa"/>
            </w:tcMar>
            <w:vAlign w:val="center"/>
          </w:tcPr>
          <w:p w14:paraId="736B775C" w14:textId="77777777" w:rsidR="00E52C07" w:rsidRPr="00E52C07" w:rsidRDefault="00E52C07" w:rsidP="00E52C07">
            <w:pPr>
              <w:widowControl/>
              <w:autoSpaceDE/>
              <w:autoSpaceDN/>
              <w:spacing w:after="200" w:line="280" w:lineRule="exact"/>
              <w:ind w:left="35"/>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t>Mana Motuhake</w:t>
            </w:r>
          </w:p>
          <w:p w14:paraId="7CCF01C6" w14:textId="77777777" w:rsidR="00E52C07" w:rsidRPr="00E52C07" w:rsidRDefault="00E52C07" w:rsidP="00E52C07">
            <w:pPr>
              <w:widowControl/>
              <w:autoSpaceDE/>
              <w:autoSpaceDN/>
              <w:spacing w:after="200" w:line="280" w:lineRule="exact"/>
              <w:ind w:left="35"/>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lastRenderedPageBreak/>
              <w:t>(Article II)</w:t>
            </w:r>
          </w:p>
        </w:tc>
        <w:tc>
          <w:tcPr>
            <w:tcW w:w="1193" w:type="pct"/>
            <w:vMerge w:val="restart"/>
            <w:tcMar>
              <w:top w:w="0" w:type="dxa"/>
              <w:left w:w="108" w:type="dxa"/>
              <w:bottom w:w="0" w:type="dxa"/>
              <w:right w:w="108" w:type="dxa"/>
            </w:tcMar>
            <w:vAlign w:val="center"/>
          </w:tcPr>
          <w:p w14:paraId="2C8404CA" w14:textId="77777777" w:rsidR="00E52C07" w:rsidRPr="00E52C07" w:rsidRDefault="00E52C07" w:rsidP="00E52C07">
            <w:pPr>
              <w:widowControl/>
              <w:autoSpaceDE/>
              <w:autoSpaceDN/>
              <w:spacing w:after="200" w:line="280" w:lineRule="exact"/>
              <w:ind w:left="36" w:right="22"/>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lastRenderedPageBreak/>
              <w:t xml:space="preserve">The right for Māori to be Māori (Māori self-determination); to exercise their authority over their lives and to live on Māori </w:t>
            </w:r>
            <w:r w:rsidRPr="00E52C07">
              <w:rPr>
                <w:rFonts w:ascii="Century Gothic" w:eastAsia="Century Gothic" w:hAnsi="Century Gothic" w:cs="Century Gothic"/>
                <w:sz w:val="20"/>
                <w:szCs w:val="20"/>
                <w:lang w:val="en-NZ"/>
              </w:rPr>
              <w:lastRenderedPageBreak/>
              <w:t>terms and according to Māori philosophies, values and practices, including tikanga Māori.</w:t>
            </w:r>
          </w:p>
        </w:tc>
        <w:tc>
          <w:tcPr>
            <w:tcW w:w="1482" w:type="pct"/>
          </w:tcPr>
          <w:p w14:paraId="5FB87699"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lastRenderedPageBreak/>
              <w:t xml:space="preserve">Leadership, research policy, processes and protocols are implemented that reflect mana </w:t>
            </w:r>
            <w:r w:rsidRPr="00E52C07">
              <w:rPr>
                <w:rFonts w:ascii="Century Gothic" w:eastAsia="Century Gothic" w:hAnsi="Century Gothic" w:cs="Century Gothic"/>
                <w:sz w:val="20"/>
                <w:szCs w:val="20"/>
                <w:lang w:val="en-NZ"/>
              </w:rPr>
              <w:pgNum/>
            </w:r>
            <w:proofErr w:type="spellStart"/>
            <w:r w:rsidRPr="00E52C07">
              <w:rPr>
                <w:rFonts w:ascii="Century Gothic" w:eastAsia="Century Gothic" w:hAnsi="Century Gothic" w:cs="Century Gothic"/>
                <w:sz w:val="20"/>
                <w:szCs w:val="20"/>
                <w:lang w:val="en-NZ"/>
              </w:rPr>
              <w:t>ea</w:t>
            </w:r>
            <w:proofErr w:type="spellEnd"/>
            <w:r w:rsidRPr="00E52C07">
              <w:rPr>
                <w:rFonts w:ascii="Century Gothic" w:eastAsia="Century Gothic" w:hAnsi="Century Gothic" w:cs="Century Gothic"/>
                <w:sz w:val="20"/>
                <w:szCs w:val="20"/>
                <w:lang w:val="en-NZ"/>
              </w:rPr>
              <w:t xml:space="preserve"> o</w:t>
            </w:r>
            <w:r w:rsidRPr="00E52C07">
              <w:rPr>
                <w:rFonts w:ascii="Century Gothic" w:eastAsia="Century Gothic" w:hAnsi="Century Gothic" w:cs="Century Gothic"/>
                <w:sz w:val="20"/>
                <w:szCs w:val="20"/>
                <w:lang w:val="en-NZ"/>
              </w:rPr>
              <w:pgNum/>
            </w:r>
            <w:proofErr w:type="spellStart"/>
            <w:r w:rsidRPr="00E52C07">
              <w:rPr>
                <w:rFonts w:ascii="Century Gothic" w:eastAsia="Century Gothic" w:hAnsi="Century Gothic" w:cs="Century Gothic"/>
                <w:sz w:val="20"/>
                <w:szCs w:val="20"/>
                <w:lang w:val="en-NZ"/>
              </w:rPr>
              <w:t>ke</w:t>
            </w:r>
            <w:proofErr w:type="spellEnd"/>
            <w:r w:rsidRPr="00E52C07">
              <w:rPr>
                <w:rFonts w:ascii="Century Gothic" w:eastAsia="Century Gothic" w:hAnsi="Century Gothic" w:cs="Century Gothic"/>
                <w:sz w:val="20"/>
                <w:szCs w:val="20"/>
                <w:lang w:val="en-NZ"/>
              </w:rPr>
              <w:t xml:space="preserve"> and continually give effect to Māori cultural development.</w:t>
            </w:r>
          </w:p>
        </w:tc>
        <w:tc>
          <w:tcPr>
            <w:tcW w:w="559" w:type="pct"/>
            <w:vAlign w:val="center"/>
          </w:tcPr>
          <w:p w14:paraId="42AAB4C8"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p>
          <w:p w14:paraId="29E63765"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p>
        </w:tc>
        <w:tc>
          <w:tcPr>
            <w:tcW w:w="597" w:type="pct"/>
            <w:shd w:val="clear" w:color="auto" w:fill="FFCB7D"/>
            <w:vAlign w:val="center"/>
          </w:tcPr>
          <w:p w14:paraId="7FE7F641"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00DF1048" w14:textId="77777777" w:rsidR="00E52C07" w:rsidRPr="00E52C07" w:rsidRDefault="00E52C07" w:rsidP="00E52C07">
            <w:pPr>
              <w:widowControl/>
              <w:autoSpaceDE/>
              <w:autoSpaceDN/>
              <w:ind w:left="430" w:right="133" w:hanging="284"/>
              <w:contextualSpacing/>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444B94BF" w14:textId="77777777" w:rsidTr="00B564A3">
        <w:trPr>
          <w:trHeight w:val="615"/>
        </w:trPr>
        <w:tc>
          <w:tcPr>
            <w:tcW w:w="575" w:type="pct"/>
            <w:vMerge/>
            <w:tcMar>
              <w:top w:w="0" w:type="dxa"/>
              <w:left w:w="108" w:type="dxa"/>
              <w:bottom w:w="0" w:type="dxa"/>
              <w:right w:w="108" w:type="dxa"/>
            </w:tcMar>
            <w:vAlign w:val="center"/>
          </w:tcPr>
          <w:p w14:paraId="3C20DDAF"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53E544D9"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1D8F18E4"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Māori are engaged about the programme.</w:t>
            </w:r>
          </w:p>
        </w:tc>
        <w:tc>
          <w:tcPr>
            <w:tcW w:w="559" w:type="pct"/>
            <w:vAlign w:val="center"/>
          </w:tcPr>
          <w:p w14:paraId="15BAB76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7" w:type="pct"/>
            <w:shd w:val="clear" w:color="auto" w:fill="FFCB7D"/>
            <w:vAlign w:val="center"/>
          </w:tcPr>
          <w:p w14:paraId="371B86D9"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3610F9CA"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1520B77E" w14:textId="77777777" w:rsidTr="00B564A3">
        <w:trPr>
          <w:trHeight w:val="615"/>
        </w:trPr>
        <w:tc>
          <w:tcPr>
            <w:tcW w:w="575" w:type="pct"/>
            <w:vMerge/>
            <w:tcMar>
              <w:top w:w="0" w:type="dxa"/>
              <w:left w:w="108" w:type="dxa"/>
              <w:bottom w:w="0" w:type="dxa"/>
              <w:right w:w="108" w:type="dxa"/>
            </w:tcMar>
            <w:vAlign w:val="center"/>
          </w:tcPr>
          <w:p w14:paraId="22963F7A"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790DE7DC"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2584DA22"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There is continued Māori involvement in every area of the programme.</w:t>
            </w:r>
          </w:p>
        </w:tc>
        <w:tc>
          <w:tcPr>
            <w:tcW w:w="559" w:type="pct"/>
            <w:vAlign w:val="center"/>
          </w:tcPr>
          <w:p w14:paraId="74B123E3"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7" w:type="pct"/>
            <w:shd w:val="clear" w:color="auto" w:fill="FFCB7D"/>
            <w:vAlign w:val="center"/>
          </w:tcPr>
          <w:p w14:paraId="4ABABDF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p>
        </w:tc>
        <w:tc>
          <w:tcPr>
            <w:tcW w:w="594" w:type="pct"/>
            <w:shd w:val="clear" w:color="auto" w:fill="FFCCCC"/>
            <w:vAlign w:val="center"/>
          </w:tcPr>
          <w:p w14:paraId="79177CEE"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701FDE17" w14:textId="77777777" w:rsidTr="00B564A3">
        <w:tc>
          <w:tcPr>
            <w:tcW w:w="575" w:type="pct"/>
            <w:vMerge/>
            <w:tcMar>
              <w:top w:w="0" w:type="dxa"/>
              <w:left w:w="108" w:type="dxa"/>
              <w:bottom w:w="0" w:type="dxa"/>
              <w:right w:w="108" w:type="dxa"/>
            </w:tcMar>
            <w:vAlign w:val="center"/>
          </w:tcPr>
          <w:p w14:paraId="232C0829"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6B41C6E3"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5577E2EE"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Research will be delivered in a manner consistent with </w:t>
            </w:r>
            <w:proofErr w:type="spellStart"/>
            <w:r w:rsidRPr="00E52C07">
              <w:rPr>
                <w:rFonts w:ascii="Century Gothic" w:eastAsia="Century Gothic" w:hAnsi="Century Gothic" w:cs="Century Gothic"/>
                <w:sz w:val="20"/>
                <w:szCs w:val="20"/>
                <w:lang w:val="en-NZ"/>
              </w:rPr>
              <w:t>mātauranga</w:t>
            </w:r>
            <w:proofErr w:type="spellEnd"/>
            <w:r w:rsidRPr="00E52C07">
              <w:rPr>
                <w:rFonts w:ascii="Century Gothic" w:eastAsia="Century Gothic" w:hAnsi="Century Gothic" w:cs="Century Gothic"/>
                <w:sz w:val="20"/>
                <w:szCs w:val="20"/>
                <w:lang w:val="en-NZ"/>
              </w:rPr>
              <w:t xml:space="preserve"> Māori.</w:t>
            </w:r>
          </w:p>
        </w:tc>
        <w:tc>
          <w:tcPr>
            <w:tcW w:w="559" w:type="pct"/>
            <w:vAlign w:val="center"/>
          </w:tcPr>
          <w:p w14:paraId="7349B706"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7" w:type="pct"/>
            <w:shd w:val="clear" w:color="auto" w:fill="FFCB7D"/>
            <w:vAlign w:val="center"/>
          </w:tcPr>
          <w:p w14:paraId="6DFF56F7"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77B8303F"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14D22553" w14:textId="77777777" w:rsidTr="00B564A3">
        <w:trPr>
          <w:trHeight w:val="657"/>
        </w:trPr>
        <w:tc>
          <w:tcPr>
            <w:tcW w:w="575" w:type="pct"/>
            <w:vMerge/>
            <w:tcMar>
              <w:top w:w="0" w:type="dxa"/>
              <w:left w:w="108" w:type="dxa"/>
              <w:bottom w:w="0" w:type="dxa"/>
              <w:right w:w="108" w:type="dxa"/>
            </w:tcMar>
            <w:vAlign w:val="center"/>
          </w:tcPr>
          <w:p w14:paraId="11980647"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10359741"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72F85AB2"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Research activities are carried out in a manner and by personnel as determined by Māori.</w:t>
            </w:r>
          </w:p>
        </w:tc>
        <w:tc>
          <w:tcPr>
            <w:tcW w:w="559" w:type="pct"/>
            <w:vAlign w:val="center"/>
          </w:tcPr>
          <w:p w14:paraId="3CBC66CF"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7" w:type="pct"/>
            <w:vAlign w:val="center"/>
          </w:tcPr>
          <w:p w14:paraId="22C0EEB0"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4" w:type="pct"/>
            <w:shd w:val="clear" w:color="auto" w:fill="FFCCCC"/>
            <w:vAlign w:val="center"/>
          </w:tcPr>
          <w:p w14:paraId="5E91A775"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04912060" w14:textId="77777777" w:rsidTr="00B564A3">
        <w:tc>
          <w:tcPr>
            <w:tcW w:w="575" w:type="pct"/>
            <w:vMerge w:val="restart"/>
            <w:tcMar>
              <w:top w:w="0" w:type="dxa"/>
              <w:left w:w="108" w:type="dxa"/>
              <w:bottom w:w="0" w:type="dxa"/>
              <w:right w:w="108" w:type="dxa"/>
            </w:tcMar>
            <w:vAlign w:val="center"/>
          </w:tcPr>
          <w:p w14:paraId="5CEE9141" w14:textId="77777777" w:rsidR="00E52C07" w:rsidRPr="00E52C07" w:rsidRDefault="00E52C07" w:rsidP="00E52C07">
            <w:pPr>
              <w:widowControl/>
              <w:autoSpaceDE/>
              <w:autoSpaceDN/>
              <w:spacing w:after="200" w:line="280" w:lineRule="exact"/>
              <w:ind w:left="35"/>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t>Mana Tangata</w:t>
            </w:r>
          </w:p>
          <w:p w14:paraId="47475BFB" w14:textId="77777777" w:rsidR="00E52C07" w:rsidRPr="00E52C07" w:rsidRDefault="00E52C07" w:rsidP="00E52C07">
            <w:pPr>
              <w:widowControl/>
              <w:autoSpaceDE/>
              <w:autoSpaceDN/>
              <w:spacing w:after="200" w:line="280" w:lineRule="exact"/>
              <w:ind w:left="35"/>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(Article III)</w:t>
            </w:r>
          </w:p>
        </w:tc>
        <w:tc>
          <w:tcPr>
            <w:tcW w:w="1193" w:type="pct"/>
            <w:vMerge w:val="restart"/>
            <w:tcMar>
              <w:top w:w="0" w:type="dxa"/>
              <w:left w:w="108" w:type="dxa"/>
              <w:bottom w:w="0" w:type="dxa"/>
              <w:right w:w="108" w:type="dxa"/>
            </w:tcMar>
            <w:vAlign w:val="center"/>
          </w:tcPr>
          <w:p w14:paraId="17A07F35" w14:textId="77777777" w:rsidR="00E52C07" w:rsidRPr="00E52C07" w:rsidRDefault="00E52C07" w:rsidP="00E52C07">
            <w:pPr>
              <w:widowControl/>
              <w:autoSpaceDE/>
              <w:autoSpaceDN/>
              <w:spacing w:after="200" w:line="280" w:lineRule="exact"/>
              <w:ind w:left="36" w:right="22"/>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Achieving equity in health research outcomes for Māori, enhancing the mana of people across their life course, and contributing to the overall health and wellbeing of Māori.</w:t>
            </w:r>
          </w:p>
        </w:tc>
        <w:tc>
          <w:tcPr>
            <w:tcW w:w="1482" w:type="pct"/>
          </w:tcPr>
          <w:p w14:paraId="033CD1A0" w14:textId="77777777" w:rsidR="00E52C07" w:rsidRPr="00E52C07" w:rsidRDefault="00E52C07" w:rsidP="00E52C07">
            <w:pPr>
              <w:widowControl/>
              <w:autoSpaceDE/>
              <w:autoSpaceDN/>
              <w:ind w:right="133"/>
              <w:contextualSpacing/>
              <w:rPr>
                <w:rFonts w:ascii="Century Gothic" w:eastAsia="Century Gothic" w:hAnsi="Century Gothic" w:cs="Century Gothic"/>
                <w:position w:val="8"/>
                <w:sz w:val="16"/>
                <w:szCs w:val="20"/>
                <w:lang w:val="en-NZ"/>
              </w:rPr>
            </w:pPr>
            <w:r w:rsidRPr="00E52C07">
              <w:rPr>
                <w:rFonts w:ascii="Century Gothic" w:eastAsia="Century Gothic" w:hAnsi="Century Gothic" w:cs="Century Gothic"/>
                <w:sz w:val="20"/>
                <w:szCs w:val="20"/>
                <w:lang w:val="en-NZ"/>
              </w:rPr>
              <w:t>Enabling capability to be developed within Māori communities and researchers through involvement and research processes.</w:t>
            </w:r>
          </w:p>
        </w:tc>
        <w:tc>
          <w:tcPr>
            <w:tcW w:w="559" w:type="pct"/>
            <w:shd w:val="clear" w:color="auto" w:fill="FFFFAB"/>
            <w:vAlign w:val="center"/>
          </w:tcPr>
          <w:p w14:paraId="4F429189"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1.2</w:t>
            </w:r>
          </w:p>
        </w:tc>
        <w:tc>
          <w:tcPr>
            <w:tcW w:w="597" w:type="pct"/>
            <w:shd w:val="clear" w:color="auto" w:fill="FFCB7D"/>
            <w:vAlign w:val="center"/>
          </w:tcPr>
          <w:p w14:paraId="47D60745"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2.3</w:t>
            </w:r>
          </w:p>
        </w:tc>
        <w:tc>
          <w:tcPr>
            <w:tcW w:w="594" w:type="pct"/>
            <w:vAlign w:val="center"/>
          </w:tcPr>
          <w:p w14:paraId="78E1AC04"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sz w:val="20"/>
                <w:szCs w:val="20"/>
                <w:lang w:val="en-NZ"/>
              </w:rPr>
            </w:pPr>
          </w:p>
        </w:tc>
      </w:tr>
      <w:tr w:rsidR="00E52C07" w:rsidRPr="00E52C07" w14:paraId="1F70E481" w14:textId="77777777" w:rsidTr="00B564A3">
        <w:tc>
          <w:tcPr>
            <w:tcW w:w="575" w:type="pct"/>
            <w:vMerge/>
            <w:tcMar>
              <w:top w:w="0" w:type="dxa"/>
              <w:left w:w="108" w:type="dxa"/>
              <w:bottom w:w="0" w:type="dxa"/>
              <w:right w:w="108" w:type="dxa"/>
            </w:tcMar>
            <w:vAlign w:val="center"/>
          </w:tcPr>
          <w:p w14:paraId="4E93AD5C" w14:textId="77777777" w:rsidR="00E52C07" w:rsidRPr="00E52C07" w:rsidRDefault="00E52C07" w:rsidP="00E52C07">
            <w:pPr>
              <w:widowControl/>
              <w:autoSpaceDE/>
              <w:autoSpaceDN/>
              <w:spacing w:after="200" w:line="280" w:lineRule="exact"/>
              <w:ind w:left="35"/>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126E7BE4"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339388A9"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Ensuring capability is developed within Māori communities and researchers through involvement in research processes at all levels.</w:t>
            </w:r>
          </w:p>
        </w:tc>
        <w:tc>
          <w:tcPr>
            <w:tcW w:w="559" w:type="pct"/>
            <w:vAlign w:val="center"/>
          </w:tcPr>
          <w:p w14:paraId="3DEE8307"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p>
        </w:tc>
        <w:tc>
          <w:tcPr>
            <w:tcW w:w="597" w:type="pct"/>
            <w:vAlign w:val="center"/>
          </w:tcPr>
          <w:p w14:paraId="02256FE6"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p>
        </w:tc>
        <w:tc>
          <w:tcPr>
            <w:tcW w:w="594" w:type="pct"/>
            <w:shd w:val="clear" w:color="auto" w:fill="FFCCCC"/>
            <w:vAlign w:val="center"/>
          </w:tcPr>
          <w:p w14:paraId="7142818D"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1EEE473F" w14:textId="77777777" w:rsidTr="00B564A3">
        <w:tc>
          <w:tcPr>
            <w:tcW w:w="575" w:type="pct"/>
            <w:vMerge/>
            <w:tcMar>
              <w:top w:w="0" w:type="dxa"/>
              <w:left w:w="108" w:type="dxa"/>
              <w:bottom w:w="0" w:type="dxa"/>
              <w:right w:w="108" w:type="dxa"/>
            </w:tcMar>
            <w:vAlign w:val="center"/>
          </w:tcPr>
          <w:p w14:paraId="48FAF105" w14:textId="77777777" w:rsidR="00E52C07" w:rsidRPr="00E52C07" w:rsidRDefault="00E52C07" w:rsidP="00E52C07">
            <w:pPr>
              <w:widowControl/>
              <w:autoSpaceDE/>
              <w:autoSpaceDN/>
              <w:spacing w:after="200" w:line="280" w:lineRule="exact"/>
              <w:ind w:left="35"/>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5DFD2395"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534AF201"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Ensuring the proportion of health research funding and delivery is consistent with equitable outcomes.</w:t>
            </w:r>
          </w:p>
        </w:tc>
        <w:tc>
          <w:tcPr>
            <w:tcW w:w="559" w:type="pct"/>
            <w:shd w:val="clear" w:color="auto" w:fill="FFFFAB"/>
            <w:vAlign w:val="center"/>
          </w:tcPr>
          <w:p w14:paraId="7D32F942"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1.1</w:t>
            </w:r>
          </w:p>
        </w:tc>
        <w:tc>
          <w:tcPr>
            <w:tcW w:w="597" w:type="pct"/>
            <w:shd w:val="clear" w:color="auto" w:fill="FFCB7D"/>
            <w:vAlign w:val="center"/>
          </w:tcPr>
          <w:p w14:paraId="27916492"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2.3</w:t>
            </w:r>
          </w:p>
        </w:tc>
        <w:tc>
          <w:tcPr>
            <w:tcW w:w="594" w:type="pct"/>
            <w:shd w:val="clear" w:color="auto" w:fill="FFCCCC"/>
            <w:vAlign w:val="center"/>
          </w:tcPr>
          <w:p w14:paraId="0FCBF7CE"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3CD977E0" w14:textId="77777777" w:rsidTr="00B564A3">
        <w:trPr>
          <w:trHeight w:val="1425"/>
        </w:trPr>
        <w:tc>
          <w:tcPr>
            <w:tcW w:w="575" w:type="pct"/>
            <w:vMerge w:val="restart"/>
            <w:tcMar>
              <w:top w:w="0" w:type="dxa"/>
              <w:left w:w="108" w:type="dxa"/>
              <w:bottom w:w="0" w:type="dxa"/>
              <w:right w:w="108" w:type="dxa"/>
            </w:tcMar>
            <w:vAlign w:val="center"/>
          </w:tcPr>
          <w:p w14:paraId="362FF236" w14:textId="77777777" w:rsidR="00E52C07" w:rsidRPr="00E52C07" w:rsidRDefault="00E52C07" w:rsidP="00E52C07">
            <w:pPr>
              <w:widowControl/>
              <w:autoSpaceDE/>
              <w:autoSpaceDN/>
              <w:spacing w:after="200" w:line="280" w:lineRule="exact"/>
              <w:ind w:left="35"/>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t>Mana Māori</w:t>
            </w:r>
          </w:p>
          <w:p w14:paraId="686BCF8A" w14:textId="77777777" w:rsidR="00E52C07" w:rsidRPr="00E52C07" w:rsidRDefault="00E52C07" w:rsidP="00E52C07">
            <w:pPr>
              <w:widowControl/>
              <w:autoSpaceDE/>
              <w:autoSpaceDN/>
              <w:spacing w:after="200" w:line="280" w:lineRule="exact"/>
              <w:ind w:right="-105"/>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(Declaration)</w:t>
            </w:r>
          </w:p>
        </w:tc>
        <w:tc>
          <w:tcPr>
            <w:tcW w:w="1193" w:type="pct"/>
            <w:vMerge w:val="restart"/>
            <w:tcMar>
              <w:top w:w="0" w:type="dxa"/>
              <w:left w:w="108" w:type="dxa"/>
              <w:bottom w:w="0" w:type="dxa"/>
              <w:right w:w="108" w:type="dxa"/>
            </w:tcMar>
            <w:vAlign w:val="center"/>
          </w:tcPr>
          <w:p w14:paraId="0B05DDBE" w14:textId="77777777" w:rsidR="00E52C07" w:rsidRPr="00E52C07" w:rsidRDefault="00E52C07" w:rsidP="00E52C07">
            <w:pPr>
              <w:widowControl/>
              <w:autoSpaceDE/>
              <w:autoSpaceDN/>
              <w:spacing w:after="200" w:line="280" w:lineRule="exact"/>
              <w:ind w:left="36" w:right="22"/>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Enabling </w:t>
            </w:r>
            <w:proofErr w:type="spellStart"/>
            <w:r w:rsidRPr="00E52C07">
              <w:rPr>
                <w:rFonts w:ascii="Century Gothic" w:eastAsia="Century Gothic" w:hAnsi="Century Gothic" w:cs="Century Gothic"/>
                <w:sz w:val="20"/>
                <w:szCs w:val="20"/>
                <w:lang w:val="en-NZ"/>
              </w:rPr>
              <w:t>ritenga</w:t>
            </w:r>
            <w:proofErr w:type="spellEnd"/>
            <w:r w:rsidRPr="00E52C07">
              <w:rPr>
                <w:rFonts w:ascii="Century Gothic" w:eastAsia="Century Gothic" w:hAnsi="Century Gothic" w:cs="Century Gothic"/>
                <w:sz w:val="20"/>
                <w:szCs w:val="20"/>
                <w:lang w:val="en-NZ"/>
              </w:rPr>
              <w:t xml:space="preserve"> Māori (Māori customary rituals), which are framed by </w:t>
            </w:r>
            <w:r w:rsidRPr="00E52C07">
              <w:rPr>
                <w:rFonts w:ascii="Century Gothic" w:eastAsia="Century Gothic" w:hAnsi="Century Gothic" w:cs="Century Gothic"/>
                <w:sz w:val="20"/>
                <w:szCs w:val="20"/>
                <w:lang w:val="en-NZ"/>
              </w:rPr>
              <w:pgNum/>
            </w:r>
            <w:proofErr w:type="spellStart"/>
            <w:r w:rsidRPr="00E52C07">
              <w:rPr>
                <w:rFonts w:ascii="Century Gothic" w:eastAsia="Century Gothic" w:hAnsi="Century Gothic" w:cs="Century Gothic"/>
                <w:sz w:val="20"/>
                <w:szCs w:val="20"/>
                <w:lang w:val="en-NZ"/>
              </w:rPr>
              <w:t>ea</w:t>
            </w:r>
            <w:proofErr w:type="spellEnd"/>
            <w:r w:rsidRPr="00E52C07">
              <w:rPr>
                <w:rFonts w:ascii="Century Gothic" w:eastAsia="Century Gothic" w:hAnsi="Century Gothic" w:cs="Century Gothic"/>
                <w:sz w:val="20"/>
                <w:szCs w:val="20"/>
                <w:lang w:val="en-NZ"/>
              </w:rPr>
              <w:t xml:space="preserve"> o Māori (the Māori world), enacted through tikanga Māori (Māori philosophy and customary practices) and encapsulated within </w:t>
            </w:r>
            <w:proofErr w:type="spellStart"/>
            <w:r w:rsidRPr="00E52C07">
              <w:rPr>
                <w:rFonts w:ascii="Century Gothic" w:eastAsia="Century Gothic" w:hAnsi="Century Gothic" w:cs="Century Gothic"/>
                <w:sz w:val="20"/>
                <w:szCs w:val="20"/>
                <w:lang w:val="en-NZ"/>
              </w:rPr>
              <w:t>mātauranga</w:t>
            </w:r>
            <w:proofErr w:type="spellEnd"/>
            <w:r w:rsidRPr="00E52C07">
              <w:rPr>
                <w:rFonts w:ascii="Century Gothic" w:eastAsia="Century Gothic" w:hAnsi="Century Gothic" w:cs="Century Gothic"/>
                <w:sz w:val="20"/>
                <w:szCs w:val="20"/>
                <w:lang w:val="en-NZ"/>
              </w:rPr>
              <w:t xml:space="preserve"> Māori (Māori knowledge).</w:t>
            </w:r>
          </w:p>
        </w:tc>
        <w:tc>
          <w:tcPr>
            <w:tcW w:w="1482" w:type="pct"/>
          </w:tcPr>
          <w:p w14:paraId="7B18781E"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Articulation and requirements for </w:t>
            </w:r>
            <w:proofErr w:type="spellStart"/>
            <w:r w:rsidRPr="00E52C07">
              <w:rPr>
                <w:rFonts w:ascii="Century Gothic" w:eastAsia="Century Gothic" w:hAnsi="Century Gothic" w:cs="Century Gothic"/>
                <w:sz w:val="20"/>
                <w:szCs w:val="20"/>
                <w:lang w:val="en-NZ"/>
              </w:rPr>
              <w:t>ritenga</w:t>
            </w:r>
            <w:proofErr w:type="spellEnd"/>
            <w:r w:rsidRPr="00E52C07">
              <w:rPr>
                <w:rFonts w:ascii="Century Gothic" w:eastAsia="Century Gothic" w:hAnsi="Century Gothic" w:cs="Century Gothic"/>
                <w:sz w:val="20"/>
                <w:szCs w:val="20"/>
                <w:lang w:val="en-NZ"/>
              </w:rPr>
              <w:t xml:space="preserve"> Māori, tikanga Māori, and </w:t>
            </w:r>
            <w:proofErr w:type="spellStart"/>
            <w:r w:rsidRPr="00E52C07">
              <w:rPr>
                <w:rFonts w:ascii="Century Gothic" w:eastAsia="Century Gothic" w:hAnsi="Century Gothic" w:cs="Century Gothic"/>
                <w:sz w:val="20"/>
                <w:szCs w:val="20"/>
                <w:lang w:val="en-NZ"/>
              </w:rPr>
              <w:t>mātauranga</w:t>
            </w:r>
            <w:proofErr w:type="spellEnd"/>
            <w:r w:rsidRPr="00E52C07">
              <w:rPr>
                <w:rFonts w:ascii="Century Gothic" w:eastAsia="Century Gothic" w:hAnsi="Century Gothic" w:cs="Century Gothic"/>
                <w:sz w:val="20"/>
                <w:szCs w:val="20"/>
                <w:lang w:val="en-NZ"/>
              </w:rPr>
              <w:t xml:space="preserve"> Māori are within contracts and research engagement practices. </w:t>
            </w:r>
          </w:p>
        </w:tc>
        <w:tc>
          <w:tcPr>
            <w:tcW w:w="559" w:type="pct"/>
            <w:vAlign w:val="center"/>
          </w:tcPr>
          <w:p w14:paraId="74C51CA4" w14:textId="77777777" w:rsidR="00E52C07" w:rsidRPr="00E52C07" w:rsidRDefault="00E52C07" w:rsidP="00E52C07">
            <w:pPr>
              <w:widowControl/>
              <w:autoSpaceDE/>
              <w:autoSpaceDN/>
              <w:spacing w:after="200"/>
              <w:jc w:val="center"/>
              <w:rPr>
                <w:rFonts w:ascii="Century Gothic" w:eastAsia="Century Gothic" w:hAnsi="Century Gothic" w:cs="Century Gothic"/>
                <w:sz w:val="20"/>
                <w:szCs w:val="20"/>
                <w:lang w:val="en-NZ"/>
              </w:rPr>
            </w:pPr>
          </w:p>
        </w:tc>
        <w:tc>
          <w:tcPr>
            <w:tcW w:w="597" w:type="pct"/>
            <w:shd w:val="clear" w:color="auto" w:fill="FFCB7D"/>
            <w:vAlign w:val="center"/>
          </w:tcPr>
          <w:p w14:paraId="48E8C89F"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25655E25" w14:textId="77777777" w:rsidR="00E52C07" w:rsidRPr="00E52C07" w:rsidRDefault="00E52C07" w:rsidP="00E52C07">
            <w:pPr>
              <w:widowControl/>
              <w:autoSpaceDE/>
              <w:autoSpaceDN/>
              <w:ind w:right="133"/>
              <w:contextualSpacing/>
              <w:jc w:val="center"/>
              <w:rPr>
                <w:rFonts w:ascii="Century Gothic" w:eastAsia="Century Gothic" w:hAnsi="Century Gothic" w:cs="Century Gothic"/>
                <w:sz w:val="20"/>
                <w:szCs w:val="20"/>
                <w:lang w:val="en-NZ"/>
              </w:rPr>
            </w:pPr>
            <w:r w:rsidRPr="00E52C07">
              <w:rPr>
                <w:rFonts w:ascii="Century Gothic" w:eastAsia="Century Gothic" w:hAnsi="Century Gothic" w:cs="Century Gothic"/>
                <w:color w:val="202124"/>
                <w:sz w:val="20"/>
                <w:szCs w:val="20"/>
                <w:lang w:val="en-NZ"/>
              </w:rPr>
              <w:t>3.1</w:t>
            </w:r>
          </w:p>
        </w:tc>
      </w:tr>
      <w:tr w:rsidR="00E52C07" w:rsidRPr="00E52C07" w14:paraId="457B9DE9" w14:textId="77777777" w:rsidTr="00B564A3">
        <w:trPr>
          <w:trHeight w:val="1223"/>
        </w:trPr>
        <w:tc>
          <w:tcPr>
            <w:tcW w:w="575" w:type="pct"/>
            <w:vMerge/>
            <w:tcMar>
              <w:top w:w="0" w:type="dxa"/>
              <w:left w:w="108" w:type="dxa"/>
              <w:bottom w:w="0" w:type="dxa"/>
              <w:right w:w="108" w:type="dxa"/>
            </w:tcMar>
            <w:vAlign w:val="center"/>
          </w:tcPr>
          <w:p w14:paraId="7DD89C52"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193" w:type="pct"/>
            <w:vMerge/>
            <w:tcMar>
              <w:top w:w="0" w:type="dxa"/>
              <w:left w:w="108" w:type="dxa"/>
              <w:bottom w:w="0" w:type="dxa"/>
              <w:right w:w="108" w:type="dxa"/>
            </w:tcMar>
            <w:vAlign w:val="center"/>
          </w:tcPr>
          <w:p w14:paraId="79F1EEB8" w14:textId="77777777" w:rsidR="00E52C07" w:rsidRPr="00E52C07" w:rsidRDefault="00E52C07" w:rsidP="00E52C07">
            <w:pPr>
              <w:widowControl/>
              <w:autoSpaceDE/>
              <w:autoSpaceDN/>
              <w:spacing w:after="200" w:line="280" w:lineRule="exact"/>
              <w:rPr>
                <w:rFonts w:ascii="Century Gothic" w:eastAsia="MS Gothic" w:hAnsi="Century Gothic" w:cs="Times New Roman"/>
                <w:sz w:val="20"/>
                <w:szCs w:val="24"/>
                <w:lang w:val="en-NZ"/>
              </w:rPr>
            </w:pPr>
          </w:p>
        </w:tc>
        <w:tc>
          <w:tcPr>
            <w:tcW w:w="1482" w:type="pct"/>
          </w:tcPr>
          <w:p w14:paraId="51600FA4" w14:textId="77777777" w:rsidR="00E52C07" w:rsidRPr="00E52C07" w:rsidRDefault="00E52C07" w:rsidP="00E52C07">
            <w:pPr>
              <w:widowControl/>
              <w:autoSpaceDE/>
              <w:autoSpaceDN/>
              <w:ind w:right="133"/>
              <w:contextualSpacing/>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How </w:t>
            </w:r>
            <w:proofErr w:type="spellStart"/>
            <w:r w:rsidRPr="00E52C07">
              <w:rPr>
                <w:rFonts w:ascii="Century Gothic" w:eastAsia="Century Gothic" w:hAnsi="Century Gothic" w:cs="Century Gothic"/>
                <w:sz w:val="20"/>
                <w:szCs w:val="20"/>
                <w:lang w:val="en-NZ"/>
              </w:rPr>
              <w:t>mana</w:t>
            </w:r>
            <w:proofErr w:type="spellEnd"/>
            <w:r w:rsidRPr="00E52C07">
              <w:rPr>
                <w:rFonts w:ascii="Century Gothic" w:eastAsia="Century Gothic" w:hAnsi="Century Gothic" w:cs="Century Gothic"/>
                <w:sz w:val="20"/>
                <w:szCs w:val="20"/>
                <w:lang w:val="en-NZ"/>
              </w:rPr>
              <w:t xml:space="preserve"> atua will be expressed by Māori is articulated within the overall framework.</w:t>
            </w:r>
          </w:p>
        </w:tc>
        <w:tc>
          <w:tcPr>
            <w:tcW w:w="559" w:type="pct"/>
            <w:vAlign w:val="center"/>
          </w:tcPr>
          <w:p w14:paraId="6D44D7B9"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sz w:val="20"/>
                <w:szCs w:val="20"/>
                <w:lang w:val="en-NZ"/>
              </w:rPr>
            </w:pPr>
          </w:p>
        </w:tc>
        <w:tc>
          <w:tcPr>
            <w:tcW w:w="597" w:type="pct"/>
            <w:shd w:val="clear" w:color="auto" w:fill="FFCB7D"/>
            <w:vAlign w:val="center"/>
          </w:tcPr>
          <w:p w14:paraId="0514C98C"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2.2</w:t>
            </w:r>
          </w:p>
        </w:tc>
        <w:tc>
          <w:tcPr>
            <w:tcW w:w="594" w:type="pct"/>
            <w:shd w:val="clear" w:color="auto" w:fill="FFCCCC"/>
            <w:vAlign w:val="center"/>
          </w:tcPr>
          <w:p w14:paraId="0984C4B9" w14:textId="77777777" w:rsidR="00E52C07" w:rsidRPr="00E52C07" w:rsidRDefault="00E52C07" w:rsidP="00E52C07">
            <w:pPr>
              <w:widowControl/>
              <w:autoSpaceDE/>
              <w:autoSpaceDN/>
              <w:spacing w:after="200" w:line="280" w:lineRule="exact"/>
              <w:jc w:val="center"/>
              <w:rPr>
                <w:rFonts w:ascii="Century Gothic" w:eastAsia="Century Gothic" w:hAnsi="Century Gothic" w:cs="Century Gothic"/>
                <w:color w:val="202124"/>
                <w:sz w:val="20"/>
                <w:szCs w:val="20"/>
                <w:lang w:val="en-NZ"/>
              </w:rPr>
            </w:pPr>
            <w:r w:rsidRPr="00E52C07">
              <w:rPr>
                <w:rFonts w:ascii="Century Gothic" w:eastAsia="Century Gothic" w:hAnsi="Century Gothic" w:cs="Century Gothic"/>
                <w:color w:val="202124"/>
                <w:sz w:val="20"/>
                <w:szCs w:val="20"/>
                <w:lang w:val="en-NZ"/>
              </w:rPr>
              <w:t>3.1</w:t>
            </w:r>
          </w:p>
        </w:tc>
      </w:tr>
    </w:tbl>
    <w:p w14:paraId="3265D008" w14:textId="77777777" w:rsidR="00E52C07" w:rsidRPr="00E52C07" w:rsidRDefault="00E52C07" w:rsidP="00E52C07">
      <w:pPr>
        <w:widowControl/>
        <w:autoSpaceDE/>
        <w:autoSpaceDN/>
        <w:spacing w:after="120" w:line="280" w:lineRule="exact"/>
        <w:jc w:val="both"/>
        <w:rPr>
          <w:rFonts w:ascii="Century Gothic" w:eastAsia="Century Gothic" w:hAnsi="Century Gothic" w:cs="Century Gothic"/>
          <w:sz w:val="20"/>
          <w:szCs w:val="20"/>
          <w:lang w:val="en-GB"/>
        </w:rPr>
      </w:pPr>
      <w:r w:rsidRPr="00E52C07">
        <w:rPr>
          <w:rFonts w:ascii="Century Gothic" w:eastAsia="Century Gothic" w:hAnsi="Century Gothic" w:cs="Century Gothic"/>
          <w:sz w:val="20"/>
          <w:szCs w:val="20"/>
          <w:lang w:val="en-GB"/>
        </w:rPr>
        <w:t> </w:t>
      </w:r>
    </w:p>
    <w:p w14:paraId="06EA9B53" w14:textId="77777777" w:rsidR="00E52C07" w:rsidRPr="00E52C07" w:rsidRDefault="00E52C07" w:rsidP="00E52C07">
      <w:pPr>
        <w:widowControl/>
        <w:autoSpaceDE/>
        <w:autoSpaceDN/>
        <w:spacing w:after="120" w:line="280" w:lineRule="exact"/>
        <w:jc w:val="both"/>
        <w:rPr>
          <w:rFonts w:ascii="Century Gothic" w:eastAsia="Century Gothic" w:hAnsi="Century Gothic" w:cs="Century Gothic"/>
          <w:sz w:val="20"/>
          <w:szCs w:val="20"/>
          <w:lang w:val="en-GB"/>
        </w:rPr>
      </w:pPr>
    </w:p>
    <w:p w14:paraId="71557F83"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GB"/>
        </w:rPr>
        <w:lastRenderedPageBreak/>
        <w:t>1.1 There are Māori voices involved in research proposal assessment and priority setting; in most cases this will be sufficient to fulfil this requirement.</w:t>
      </w:r>
    </w:p>
    <w:p w14:paraId="7809C5EA"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1.2  Lead researchers are encouraged, where possible, to consider employing Māori researchers or developing Māori capability.  There is no obligation to meet this requirement.</w:t>
      </w:r>
    </w:p>
    <w:p w14:paraId="29FA8FA1"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 xml:space="preserve">2.1  The </w:t>
      </w:r>
      <w:proofErr w:type="spellStart"/>
      <w:r w:rsidRPr="00E52C07">
        <w:rPr>
          <w:rFonts w:ascii="Century Gothic" w:eastAsia="Century Gothic" w:hAnsi="Century Gothic" w:cs="Century Gothic"/>
          <w:sz w:val="20"/>
          <w:szCs w:val="20"/>
          <w:lang w:val="en-NZ"/>
        </w:rPr>
        <w:t>Kaiārahi</w:t>
      </w:r>
      <w:proofErr w:type="spellEnd"/>
      <w:r w:rsidRPr="00E52C07">
        <w:rPr>
          <w:rFonts w:ascii="Century Gothic" w:eastAsia="Century Gothic" w:hAnsi="Century Gothic" w:cs="Century Gothic"/>
          <w:sz w:val="20"/>
          <w:szCs w:val="20"/>
          <w:lang w:val="en-NZ"/>
        </w:rPr>
        <w:t xml:space="preserve"> position will advise on (a) the necessary considerations in the research proposal (these considerations can be the subject of consultation with research leads); and (b) a pathway to ensure that Māori voices are equally heard in governance and decision-making settings.  To some extent, this is covered by having Māori voices in research assessment.</w:t>
      </w:r>
    </w:p>
    <w:p w14:paraId="0C64E371"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2.2  Engaging both parties can bring to light the protocols and kawa needed.</w:t>
      </w:r>
    </w:p>
    <w:p w14:paraId="15761243"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2.3  Specific groups or individuals who can work with researchers need to be identified.  Consideration for renumeration for involvement should be given.</w:t>
      </w:r>
    </w:p>
    <w:p w14:paraId="6DA74E42" w14:textId="77777777" w:rsidR="00E52C07" w:rsidRPr="00E52C07" w:rsidRDefault="00E52C07" w:rsidP="00E52C07">
      <w:pPr>
        <w:widowControl/>
        <w:autoSpaceDE/>
        <w:autoSpaceDN/>
        <w:spacing w:after="200" w:line="280" w:lineRule="exact"/>
        <w:ind w:left="360"/>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3.1  Refer to diagram ‘End to End Research Process’ in Appendix 3 for guidance.</w:t>
      </w:r>
    </w:p>
    <w:p w14:paraId="4672237A" w14:textId="77777777" w:rsidR="00E52C07" w:rsidRPr="00E52C07" w:rsidRDefault="00E52C07" w:rsidP="00E52C07">
      <w:pPr>
        <w:widowControl/>
        <w:autoSpaceDE/>
        <w:autoSpaceDN/>
        <w:rPr>
          <w:rFonts w:ascii="Century Gothic" w:eastAsia="Century Gothic" w:hAnsi="Century Gothic" w:cs="Century Gothic"/>
          <w:b/>
          <w:bCs/>
          <w:sz w:val="20"/>
          <w:szCs w:val="20"/>
          <w:lang w:val="en-NZ"/>
        </w:rPr>
      </w:pPr>
      <w:r w:rsidRPr="00E52C07">
        <w:rPr>
          <w:rFonts w:ascii="Century Gothic" w:eastAsia="Century Gothic" w:hAnsi="Century Gothic" w:cs="Century Gothic"/>
          <w:b/>
          <w:bCs/>
          <w:sz w:val="20"/>
          <w:szCs w:val="20"/>
          <w:lang w:val="en-NZ"/>
        </w:rPr>
        <w:br w:type="page"/>
      </w:r>
    </w:p>
    <w:p w14:paraId="23C7CF92"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b/>
          <w:bCs/>
          <w:sz w:val="20"/>
          <w:szCs w:val="20"/>
          <w:lang w:val="en-NZ"/>
        </w:rPr>
        <w:lastRenderedPageBreak/>
        <w:t xml:space="preserve">Table Three: </w:t>
      </w:r>
      <w:r w:rsidRPr="00E52C07">
        <w:rPr>
          <w:rFonts w:ascii="Century Gothic" w:eastAsia="Century Gothic" w:hAnsi="Century Gothic" w:cs="Century Gothic"/>
          <w:sz w:val="20"/>
          <w:szCs w:val="20"/>
          <w:lang w:val="en-GB"/>
        </w:rPr>
        <w:t xml:space="preserve">The five </w:t>
      </w:r>
      <w:proofErr w:type="spellStart"/>
      <w:r w:rsidRPr="00E52C07">
        <w:rPr>
          <w:rFonts w:ascii="Century Gothic" w:eastAsia="Century Gothic" w:hAnsi="Century Gothic" w:cs="Century Gothic"/>
          <w:b/>
          <w:bCs/>
          <w:sz w:val="20"/>
          <w:szCs w:val="20"/>
          <w:lang w:val="en-GB"/>
        </w:rPr>
        <w:t>Tiriti</w:t>
      </w:r>
      <w:proofErr w:type="spellEnd"/>
      <w:r w:rsidRPr="00E52C07">
        <w:rPr>
          <w:rFonts w:ascii="Century Gothic" w:eastAsia="Century Gothic" w:hAnsi="Century Gothic" w:cs="Century Gothic"/>
          <w:b/>
          <w:bCs/>
          <w:sz w:val="20"/>
          <w:szCs w:val="20"/>
          <w:lang w:val="en-GB"/>
        </w:rPr>
        <w:t xml:space="preserve"> principles</w:t>
      </w:r>
      <w:r w:rsidRPr="00E52C07">
        <w:rPr>
          <w:rFonts w:ascii="Century Gothic" w:eastAsia="Century Gothic" w:hAnsi="Century Gothic" w:cs="Century Gothic"/>
          <w:sz w:val="20"/>
          <w:szCs w:val="20"/>
          <w:lang w:val="en-GB"/>
        </w:rPr>
        <w:t xml:space="preserve"> can be further interpreted.  </w:t>
      </w:r>
      <w:r w:rsidRPr="00E52C07">
        <w:rPr>
          <w:rFonts w:ascii="Century Gothic" w:eastAsia="Century Gothic" w:hAnsi="Century Gothic" w:cs="Century Gothic"/>
          <w:color w:val="000000"/>
          <w:sz w:val="20"/>
          <w:szCs w:val="20"/>
          <w:lang w:val="en-NZ"/>
        </w:rPr>
        <w:t xml:space="preserve">An explanation of numbers 1.1- 3.1 can be found below Table 2.  </w:t>
      </w:r>
      <w:r w:rsidRPr="00E52C07">
        <w:rPr>
          <w:rFonts w:ascii="Century Gothic" w:eastAsia="Century Gothic" w:hAnsi="Century Gothic" w:cs="Century Gothic"/>
          <w:sz w:val="20"/>
          <w:szCs w:val="20"/>
          <w:lang w:val="en-NZ"/>
        </w:rPr>
        <w:t>The following colours indicate the requirement level in each instance:</w:t>
      </w:r>
    </w:p>
    <w:tbl>
      <w:tblPr>
        <w:tblStyle w:val="TableGrid1"/>
        <w:tblpPr w:leftFromText="180" w:rightFromText="180" w:vertAnchor="text" w:horzAnchor="margin" w:tblpXSpec="center" w:tblpY="52"/>
        <w:tblOverlap w:val="never"/>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2151"/>
        <w:gridCol w:w="400"/>
        <w:gridCol w:w="851"/>
        <w:gridCol w:w="1984"/>
        <w:gridCol w:w="426"/>
        <w:gridCol w:w="850"/>
        <w:gridCol w:w="2977"/>
      </w:tblGrid>
      <w:tr w:rsidR="00E52C07" w:rsidRPr="00E52C07" w14:paraId="3E873A8F" w14:textId="77777777" w:rsidTr="00B564A3">
        <w:trPr>
          <w:trHeight w:val="274"/>
        </w:trPr>
        <w:tc>
          <w:tcPr>
            <w:tcW w:w="846" w:type="dxa"/>
            <w:shd w:val="clear" w:color="auto" w:fill="FFFFAB"/>
          </w:tcPr>
          <w:p w14:paraId="4372DC1F"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2151" w:type="dxa"/>
          </w:tcPr>
          <w:p w14:paraId="28736110"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Considered</w:t>
            </w:r>
          </w:p>
        </w:tc>
        <w:tc>
          <w:tcPr>
            <w:tcW w:w="400" w:type="dxa"/>
          </w:tcPr>
          <w:p w14:paraId="6D5F6772"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851" w:type="dxa"/>
            <w:shd w:val="clear" w:color="auto" w:fill="FFCB7D"/>
          </w:tcPr>
          <w:p w14:paraId="001068F1"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1984" w:type="dxa"/>
          </w:tcPr>
          <w:p w14:paraId="1096A804"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Action required</w:t>
            </w:r>
          </w:p>
        </w:tc>
        <w:tc>
          <w:tcPr>
            <w:tcW w:w="426" w:type="dxa"/>
          </w:tcPr>
          <w:p w14:paraId="7EB85959"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850" w:type="dxa"/>
            <w:shd w:val="clear" w:color="auto" w:fill="FFCCCC"/>
          </w:tcPr>
          <w:p w14:paraId="0148A62A"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p>
        </w:tc>
        <w:tc>
          <w:tcPr>
            <w:tcW w:w="2977" w:type="dxa"/>
          </w:tcPr>
          <w:p w14:paraId="5B1B39DA" w14:textId="77777777" w:rsidR="00E52C07" w:rsidRPr="00E52C07" w:rsidRDefault="00E52C07" w:rsidP="00E52C07">
            <w:pPr>
              <w:spacing w:after="120" w:line="280" w:lineRule="exact"/>
              <w:jc w:val="both"/>
              <w:rPr>
                <w:rFonts w:ascii="Century Gothic" w:eastAsia="Century Gothic" w:hAnsi="Century Gothic" w:cs="Century Gothic"/>
                <w:sz w:val="20"/>
                <w:lang w:val="en-GB"/>
              </w:rPr>
            </w:pPr>
            <w:r w:rsidRPr="00E52C07">
              <w:rPr>
                <w:rFonts w:ascii="Century Gothic" w:eastAsia="Century Gothic" w:hAnsi="Century Gothic" w:cs="Century Gothic"/>
                <w:sz w:val="20"/>
                <w:lang w:val="en-GB"/>
              </w:rPr>
              <w:t>Mandatory requirement</w:t>
            </w:r>
          </w:p>
        </w:tc>
      </w:tr>
    </w:tbl>
    <w:p w14:paraId="64DE6780" w14:textId="77777777" w:rsidR="00E52C07" w:rsidRPr="00E52C07" w:rsidRDefault="00E52C07" w:rsidP="00E52C07">
      <w:pPr>
        <w:widowControl/>
        <w:autoSpaceDE/>
        <w:autoSpaceDN/>
        <w:spacing w:after="120" w:line="280" w:lineRule="exact"/>
        <w:rPr>
          <w:rFonts w:ascii="Century Gothic" w:eastAsia="Century Gothic" w:hAnsi="Century Gothic" w:cs="Century Gothic"/>
          <w:sz w:val="20"/>
          <w:szCs w:val="20"/>
          <w:lang w:val="en-NZ"/>
        </w:rPr>
      </w:pPr>
    </w:p>
    <w:p w14:paraId="43357463" w14:textId="77777777" w:rsidR="00E52C07" w:rsidRPr="00E52C07" w:rsidRDefault="00E52C07" w:rsidP="00E52C07">
      <w:pPr>
        <w:widowControl/>
        <w:autoSpaceDE/>
        <w:autoSpaceDN/>
        <w:spacing w:after="200" w:line="280" w:lineRule="exact"/>
        <w:jc w:val="both"/>
        <w:rPr>
          <w:rFonts w:ascii="Century Gothic" w:eastAsia="Century Gothic" w:hAnsi="Century Gothic" w:cs="Century Gothic"/>
          <w:sz w:val="20"/>
          <w:szCs w:val="20"/>
          <w:lang w:val="en-GB"/>
        </w:rPr>
      </w:pPr>
      <w:r w:rsidRPr="00E52C07">
        <w:rPr>
          <w:rFonts w:ascii="Century Gothic" w:eastAsia="Century Gothic" w:hAnsi="Century Gothic" w:cs="Century Gothic"/>
          <w:sz w:val="20"/>
          <w:szCs w:val="20"/>
          <w:lang w:val="en-GB"/>
        </w:rPr>
        <w:t xml:space="preserve"> </w:t>
      </w:r>
    </w:p>
    <w:tbl>
      <w:tblPr>
        <w:tblStyle w:val="TableGrid11"/>
        <w:tblW w:w="5000" w:type="pct"/>
        <w:tblLook w:val="04A0" w:firstRow="1" w:lastRow="0" w:firstColumn="1" w:lastColumn="0" w:noHBand="0" w:noVBand="1"/>
      </w:tblPr>
      <w:tblGrid>
        <w:gridCol w:w="1729"/>
        <w:gridCol w:w="3157"/>
        <w:gridCol w:w="4530"/>
        <w:gridCol w:w="1615"/>
        <w:gridCol w:w="1518"/>
        <w:gridCol w:w="1400"/>
      </w:tblGrid>
      <w:tr w:rsidR="00E52C07" w:rsidRPr="00E52C07" w14:paraId="17E6C8D6" w14:textId="77777777" w:rsidTr="00B564A3">
        <w:trPr>
          <w:trHeight w:val="1485"/>
        </w:trPr>
        <w:tc>
          <w:tcPr>
            <w:tcW w:w="594" w:type="pct"/>
            <w:shd w:val="clear" w:color="auto" w:fill="B6DEE9"/>
            <w:vAlign w:val="center"/>
          </w:tcPr>
          <w:p w14:paraId="74BEE077"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Principles</w:t>
            </w:r>
          </w:p>
        </w:tc>
        <w:tc>
          <w:tcPr>
            <w:tcW w:w="1137" w:type="pct"/>
            <w:shd w:val="clear" w:color="auto" w:fill="B6DEE9"/>
            <w:vAlign w:val="center"/>
          </w:tcPr>
          <w:p w14:paraId="59B621A7"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Interpretation in Health Research Space</w:t>
            </w:r>
          </w:p>
        </w:tc>
        <w:tc>
          <w:tcPr>
            <w:tcW w:w="1629" w:type="pct"/>
            <w:shd w:val="clear" w:color="auto" w:fill="B6DEE9"/>
            <w:vAlign w:val="center"/>
          </w:tcPr>
          <w:p w14:paraId="3B35D737"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Enabler</w:t>
            </w:r>
          </w:p>
        </w:tc>
        <w:tc>
          <w:tcPr>
            <w:tcW w:w="584" w:type="pct"/>
            <w:shd w:val="clear" w:color="auto" w:fill="B6DEE9"/>
          </w:tcPr>
          <w:p w14:paraId="1B8E20C4" w14:textId="77777777" w:rsidR="00E52C07" w:rsidRPr="00E52C07" w:rsidRDefault="00E52C07" w:rsidP="00E52C07">
            <w:pPr>
              <w:spacing w:after="200" w:line="280" w:lineRule="exact"/>
              <w:ind w:left="-110" w:right="-115"/>
              <w:jc w:val="center"/>
              <w:rPr>
                <w:rFonts w:ascii="Century Gothic" w:eastAsia="Century Gothic" w:hAnsi="Century Gothic" w:cs="Century Gothic"/>
                <w:b/>
                <w:bCs/>
                <w:sz w:val="18"/>
                <w:szCs w:val="18"/>
              </w:rPr>
            </w:pPr>
            <w:r w:rsidRPr="00E52C07">
              <w:rPr>
                <w:rFonts w:ascii="Century Gothic" w:eastAsia="Century Gothic" w:hAnsi="Century Gothic" w:cs="Century Gothic"/>
                <w:b/>
                <w:bCs/>
                <w:sz w:val="20"/>
              </w:rPr>
              <w:t>A. Research of relevance to all peoples</w:t>
            </w:r>
          </w:p>
        </w:tc>
        <w:tc>
          <w:tcPr>
            <w:tcW w:w="549" w:type="pct"/>
            <w:shd w:val="clear" w:color="auto" w:fill="B6DEE9"/>
          </w:tcPr>
          <w:p w14:paraId="368BB321" w14:textId="77777777" w:rsidR="00E52C07" w:rsidRPr="00E52C07" w:rsidRDefault="00E52C07" w:rsidP="00E52C07">
            <w:pPr>
              <w:spacing w:after="200" w:line="280" w:lineRule="exact"/>
              <w:ind w:left="-109" w:right="-108"/>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B Research specifically relevant to Māori or Research involving Māori</w:t>
            </w:r>
          </w:p>
        </w:tc>
        <w:tc>
          <w:tcPr>
            <w:tcW w:w="507" w:type="pct"/>
            <w:shd w:val="clear" w:color="auto" w:fill="B6DEE9"/>
          </w:tcPr>
          <w:p w14:paraId="2863CE1C"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C Māori-centred research</w:t>
            </w:r>
            <w:r w:rsidRPr="00E52C07">
              <w:rPr>
                <w:rFonts w:ascii="Century Gothic" w:eastAsia="Century Gothic" w:hAnsi="Century Gothic" w:cs="Century Gothic"/>
                <w:b/>
                <w:bCs/>
                <w:sz w:val="20"/>
              </w:rPr>
              <w:br/>
              <w:t>or Kaupapa Māori research</w:t>
            </w:r>
          </w:p>
        </w:tc>
      </w:tr>
      <w:tr w:rsidR="00E52C07" w:rsidRPr="00E52C07" w14:paraId="7260519E" w14:textId="77777777" w:rsidTr="00B564A3">
        <w:tc>
          <w:tcPr>
            <w:tcW w:w="594" w:type="pct"/>
            <w:vMerge w:val="restart"/>
          </w:tcPr>
          <w:p w14:paraId="0BB38A38"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01CA3CF8"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4691B987"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F875C2A"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Tino Rangatiratanga</w:t>
            </w:r>
          </w:p>
        </w:tc>
        <w:tc>
          <w:tcPr>
            <w:tcW w:w="1137" w:type="pct"/>
            <w:vMerge w:val="restart"/>
            <w:vAlign w:val="center"/>
          </w:tcPr>
          <w:p w14:paraId="66E7AC38"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 xml:space="preserve">Māori exercise leadership/authority over their own research, including intergenerational planning to develop Māori researchers and support for </w:t>
            </w:r>
            <w:proofErr w:type="spellStart"/>
            <w:r w:rsidRPr="00E52C07">
              <w:rPr>
                <w:rFonts w:ascii="Century Gothic" w:eastAsia="Century Gothic" w:hAnsi="Century Gothic" w:cs="Century Gothic"/>
                <w:sz w:val="20"/>
              </w:rPr>
              <w:t>Māori</w:t>
            </w:r>
            <w:proofErr w:type="spellEnd"/>
            <w:r w:rsidRPr="00E52C07">
              <w:rPr>
                <w:rFonts w:ascii="Century Gothic" w:eastAsia="Century Gothic" w:hAnsi="Century Gothic" w:cs="Century Gothic"/>
                <w:sz w:val="20"/>
              </w:rPr>
              <w:t xml:space="preserve"> self-determination and mana </w:t>
            </w:r>
            <w:proofErr w:type="spellStart"/>
            <w:r w:rsidRPr="00E52C07">
              <w:rPr>
                <w:rFonts w:ascii="Century Gothic" w:eastAsia="Century Gothic" w:hAnsi="Century Gothic" w:cs="Century Gothic"/>
                <w:sz w:val="20"/>
              </w:rPr>
              <w:t>motuhake</w:t>
            </w:r>
            <w:proofErr w:type="spellEnd"/>
            <w:r w:rsidRPr="00E52C07">
              <w:rPr>
                <w:rFonts w:ascii="Century Gothic" w:eastAsia="Century Gothic" w:hAnsi="Century Gothic" w:cs="Century Gothic"/>
                <w:sz w:val="20"/>
              </w:rPr>
              <w:t xml:space="preserve">.  </w:t>
            </w:r>
          </w:p>
          <w:p w14:paraId="60C6CEF0" w14:textId="77777777" w:rsidR="00E52C07" w:rsidRPr="00E52C07" w:rsidRDefault="00E52C07" w:rsidP="00E52C07">
            <w:pPr>
              <w:contextualSpacing/>
              <w:rPr>
                <w:rFonts w:ascii="Century Gothic" w:eastAsia="Century Gothic" w:hAnsi="Century Gothic" w:cs="Century Gothic"/>
                <w:sz w:val="20"/>
              </w:rPr>
            </w:pPr>
          </w:p>
          <w:p w14:paraId="45FDAAEC"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Ensuring that Māori lead decision-making about Māori information/data that is collected and how it is used.</w:t>
            </w:r>
          </w:p>
        </w:tc>
        <w:tc>
          <w:tcPr>
            <w:tcW w:w="1629" w:type="pct"/>
            <w:vAlign w:val="center"/>
          </w:tcPr>
          <w:p w14:paraId="2F93027E"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Pathways and research are co-designed in collaboration with Māori research providers and consumers.</w:t>
            </w:r>
          </w:p>
        </w:tc>
        <w:tc>
          <w:tcPr>
            <w:tcW w:w="584" w:type="pct"/>
            <w:vAlign w:val="center"/>
          </w:tcPr>
          <w:p w14:paraId="35D35EAF"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08E44149"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2.1</w:t>
            </w:r>
          </w:p>
        </w:tc>
        <w:tc>
          <w:tcPr>
            <w:tcW w:w="507" w:type="pct"/>
            <w:vAlign w:val="center"/>
          </w:tcPr>
          <w:p w14:paraId="37A93B9A"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tc>
      </w:tr>
      <w:tr w:rsidR="00E52C07" w:rsidRPr="00E52C07" w14:paraId="593EB9C2" w14:textId="77777777" w:rsidTr="00B564A3">
        <w:tc>
          <w:tcPr>
            <w:tcW w:w="594" w:type="pct"/>
            <w:vMerge/>
          </w:tcPr>
          <w:p w14:paraId="74280FF5" w14:textId="77777777" w:rsidR="00E52C07" w:rsidRPr="00E52C07" w:rsidRDefault="00E52C07" w:rsidP="00E52C07">
            <w:pPr>
              <w:spacing w:after="200" w:line="280" w:lineRule="exact"/>
              <w:rPr>
                <w:rFonts w:eastAsia="SimSun" w:cs="Times New Roman"/>
                <w:sz w:val="20"/>
              </w:rPr>
            </w:pPr>
          </w:p>
        </w:tc>
        <w:tc>
          <w:tcPr>
            <w:tcW w:w="1137" w:type="pct"/>
            <w:vMerge/>
          </w:tcPr>
          <w:p w14:paraId="3FF92A0F"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54CF4542" w14:textId="77777777" w:rsidR="00E52C07" w:rsidRPr="00E52C07" w:rsidRDefault="00E52C07" w:rsidP="00E52C07">
            <w:pPr>
              <w:rPr>
                <w:rFonts w:ascii="Century Gothic" w:eastAsia="Century Gothic" w:hAnsi="Century Gothic" w:cs="Century Gothic"/>
                <w:sz w:val="20"/>
              </w:rPr>
            </w:pPr>
            <w:r w:rsidRPr="00E52C07">
              <w:rPr>
                <w:rFonts w:ascii="Century Gothic" w:eastAsia="Century Gothic" w:hAnsi="Century Gothic" w:cs="Century Gothic"/>
                <w:sz w:val="20"/>
              </w:rPr>
              <w:t>Pathways</w:t>
            </w:r>
            <w:r w:rsidRPr="00E52C07">
              <w:rPr>
                <w:rFonts w:ascii="Century Gothic" w:eastAsia="Century Gothic" w:hAnsi="Century Gothic" w:cs="Century Gothic"/>
                <w:b/>
                <w:bCs/>
                <w:sz w:val="20"/>
              </w:rPr>
              <w:t xml:space="preserve"> </w:t>
            </w:r>
            <w:r w:rsidRPr="00E52C07">
              <w:rPr>
                <w:rFonts w:ascii="Century Gothic" w:eastAsia="Century Gothic" w:hAnsi="Century Gothic" w:cs="Century Gothic"/>
                <w:sz w:val="20"/>
              </w:rPr>
              <w:t>and research are led by Māori researchers and Māori research organisations.</w:t>
            </w:r>
          </w:p>
        </w:tc>
        <w:tc>
          <w:tcPr>
            <w:tcW w:w="584" w:type="pct"/>
            <w:vAlign w:val="center"/>
          </w:tcPr>
          <w:p w14:paraId="2EA0DD94"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vAlign w:val="center"/>
          </w:tcPr>
          <w:p w14:paraId="6C61401E"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tc>
        <w:tc>
          <w:tcPr>
            <w:tcW w:w="507" w:type="pct"/>
            <w:shd w:val="clear" w:color="auto" w:fill="FFCCCC"/>
            <w:vAlign w:val="center"/>
          </w:tcPr>
          <w:p w14:paraId="69E5B86E"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2CE145C7"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36417D4F" w14:textId="77777777" w:rsidTr="00B564A3">
        <w:tc>
          <w:tcPr>
            <w:tcW w:w="594" w:type="pct"/>
            <w:vMerge/>
          </w:tcPr>
          <w:p w14:paraId="566938D8" w14:textId="77777777" w:rsidR="00E52C07" w:rsidRPr="00E52C07" w:rsidRDefault="00E52C07" w:rsidP="00E52C07">
            <w:pPr>
              <w:spacing w:after="200" w:line="280" w:lineRule="exact"/>
              <w:rPr>
                <w:rFonts w:eastAsia="SimSun" w:cs="Times New Roman"/>
                <w:sz w:val="20"/>
              </w:rPr>
            </w:pPr>
          </w:p>
        </w:tc>
        <w:tc>
          <w:tcPr>
            <w:tcW w:w="1137" w:type="pct"/>
            <w:vMerge/>
          </w:tcPr>
          <w:p w14:paraId="1DB6897E"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7EC56423"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 xml:space="preserve">Attention is given to research to developing capability within </w:t>
            </w:r>
            <w:proofErr w:type="spellStart"/>
            <w:r w:rsidRPr="00E52C07">
              <w:rPr>
                <w:rFonts w:ascii="Century Gothic" w:eastAsia="Century Gothic" w:hAnsi="Century Gothic" w:cs="Century Gothic"/>
                <w:sz w:val="20"/>
              </w:rPr>
              <w:t>te</w:t>
            </w:r>
            <w:proofErr w:type="spellEnd"/>
            <w:r w:rsidRPr="00E52C07">
              <w:rPr>
                <w:rFonts w:ascii="Century Gothic" w:eastAsia="Century Gothic" w:hAnsi="Century Gothic" w:cs="Century Gothic"/>
                <w:sz w:val="20"/>
              </w:rPr>
              <w:t xml:space="preserve"> </w:t>
            </w:r>
            <w:proofErr w:type="spellStart"/>
            <w:r w:rsidRPr="00E52C07">
              <w:rPr>
                <w:rFonts w:ascii="Century Gothic" w:eastAsia="Century Gothic" w:hAnsi="Century Gothic" w:cs="Century Gothic"/>
                <w:sz w:val="20"/>
              </w:rPr>
              <w:t>ao</w:t>
            </w:r>
            <w:proofErr w:type="spellEnd"/>
            <w:r w:rsidRPr="00E52C07">
              <w:rPr>
                <w:rFonts w:ascii="Century Gothic" w:eastAsia="Century Gothic" w:hAnsi="Century Gothic" w:cs="Century Gothic"/>
                <w:sz w:val="20"/>
              </w:rPr>
              <w:t xml:space="preserve"> Māori by Māori. </w:t>
            </w:r>
          </w:p>
        </w:tc>
        <w:tc>
          <w:tcPr>
            <w:tcW w:w="584" w:type="pct"/>
            <w:vAlign w:val="center"/>
          </w:tcPr>
          <w:p w14:paraId="759F89D9"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047842D8"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2.1</w:t>
            </w:r>
          </w:p>
        </w:tc>
        <w:tc>
          <w:tcPr>
            <w:tcW w:w="507" w:type="pct"/>
            <w:shd w:val="clear" w:color="auto" w:fill="FFCCCC"/>
            <w:vAlign w:val="center"/>
          </w:tcPr>
          <w:p w14:paraId="14A9196F"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7D1B906F" w14:textId="77777777" w:rsidTr="00B564A3">
        <w:tc>
          <w:tcPr>
            <w:tcW w:w="594" w:type="pct"/>
            <w:vMerge/>
          </w:tcPr>
          <w:p w14:paraId="09710C34" w14:textId="77777777" w:rsidR="00E52C07" w:rsidRPr="00E52C07" w:rsidRDefault="00E52C07" w:rsidP="00E52C07">
            <w:pPr>
              <w:spacing w:after="200" w:line="280" w:lineRule="exact"/>
              <w:rPr>
                <w:rFonts w:eastAsia="SimSun" w:cs="Times New Roman"/>
                <w:sz w:val="20"/>
              </w:rPr>
            </w:pPr>
          </w:p>
        </w:tc>
        <w:tc>
          <w:tcPr>
            <w:tcW w:w="1137" w:type="pct"/>
            <w:vMerge/>
          </w:tcPr>
          <w:p w14:paraId="50EDEBD3"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527CDBB0"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 xml:space="preserve">Ensuring all research pathways and the processes within have been developed and/or reviewed with a </w:t>
            </w:r>
            <w:proofErr w:type="spellStart"/>
            <w:r w:rsidRPr="00E52C07">
              <w:rPr>
                <w:rFonts w:ascii="Century Gothic" w:eastAsia="Century Gothic" w:hAnsi="Century Gothic" w:cs="Century Gothic"/>
                <w:sz w:val="20"/>
              </w:rPr>
              <w:t>Tiriti</w:t>
            </w:r>
            <w:proofErr w:type="spellEnd"/>
            <w:r w:rsidRPr="00E52C07">
              <w:rPr>
                <w:rFonts w:ascii="Century Gothic" w:eastAsia="Century Gothic" w:hAnsi="Century Gothic" w:cs="Century Gothic"/>
                <w:sz w:val="20"/>
              </w:rPr>
              <w:t xml:space="preserve"> lens.</w:t>
            </w:r>
          </w:p>
        </w:tc>
        <w:tc>
          <w:tcPr>
            <w:tcW w:w="584" w:type="pct"/>
            <w:shd w:val="clear" w:color="auto" w:fill="FFFFAB"/>
            <w:vAlign w:val="center"/>
          </w:tcPr>
          <w:p w14:paraId="1B04C735" w14:textId="77777777" w:rsidR="00E52C07" w:rsidRPr="00E52C07" w:rsidRDefault="00E52C07" w:rsidP="00E52C07">
            <w:pPr>
              <w:spacing w:after="200" w:line="280" w:lineRule="exact"/>
              <w:jc w:val="center"/>
              <w:rPr>
                <w:rFonts w:ascii="Century Gothic" w:eastAsia="Century Gothic" w:hAnsi="Century Gothic" w:cs="Century Gothic"/>
                <w:color w:val="202124"/>
                <w:position w:val="8"/>
                <w:sz w:val="16"/>
              </w:rPr>
            </w:pPr>
          </w:p>
          <w:p w14:paraId="215AEEAF"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1.1</w:t>
            </w:r>
          </w:p>
        </w:tc>
        <w:tc>
          <w:tcPr>
            <w:tcW w:w="549" w:type="pct"/>
            <w:shd w:val="clear" w:color="auto" w:fill="FFCB7D"/>
            <w:vAlign w:val="center"/>
          </w:tcPr>
          <w:p w14:paraId="38836C6B"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24E30B3B"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2.2</w:t>
            </w:r>
          </w:p>
        </w:tc>
        <w:tc>
          <w:tcPr>
            <w:tcW w:w="507" w:type="pct"/>
            <w:shd w:val="clear" w:color="auto" w:fill="FFCCCC"/>
            <w:vAlign w:val="center"/>
          </w:tcPr>
          <w:p w14:paraId="35329F6A"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721A7C32"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23757DA6" w14:textId="77777777" w:rsidTr="00B564A3">
        <w:trPr>
          <w:trHeight w:val="699"/>
        </w:trPr>
        <w:tc>
          <w:tcPr>
            <w:tcW w:w="594" w:type="pct"/>
            <w:vMerge w:val="restart"/>
          </w:tcPr>
          <w:p w14:paraId="2580DF59"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C0517E5" w14:textId="77777777" w:rsidR="00E52C07" w:rsidRPr="00E52C07" w:rsidRDefault="00E52C07" w:rsidP="00E52C07">
            <w:pPr>
              <w:spacing w:after="200" w:line="280" w:lineRule="exact"/>
              <w:rPr>
                <w:rFonts w:ascii="Century Gothic" w:eastAsia="Century Gothic" w:hAnsi="Century Gothic" w:cs="Century Gothic"/>
                <w:b/>
                <w:bCs/>
                <w:sz w:val="20"/>
              </w:rPr>
            </w:pPr>
          </w:p>
          <w:p w14:paraId="4A729FBB"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2A66A639"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lastRenderedPageBreak/>
              <w:t>Equity</w:t>
            </w:r>
          </w:p>
        </w:tc>
        <w:tc>
          <w:tcPr>
            <w:tcW w:w="1137" w:type="pct"/>
            <w:vMerge w:val="restart"/>
          </w:tcPr>
          <w:p w14:paraId="3F0391A7"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lastRenderedPageBreak/>
              <w:t>Achieving equity of health outcomes for Māori is an essential component of research.</w:t>
            </w:r>
          </w:p>
          <w:p w14:paraId="06F78F4F"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lastRenderedPageBreak/>
              <w:t xml:space="preserve">Information and research data will be used to highlight any disparities between the Māori and non-Māori populations and highlight areas to address. </w:t>
            </w:r>
          </w:p>
          <w:p w14:paraId="624182CB"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Equity through Māori leadership in research oversight.</w:t>
            </w:r>
          </w:p>
        </w:tc>
        <w:tc>
          <w:tcPr>
            <w:tcW w:w="1629" w:type="pct"/>
            <w:vAlign w:val="center"/>
          </w:tcPr>
          <w:p w14:paraId="06438F53"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lastRenderedPageBreak/>
              <w:t>Māori leadership in the definition of work programmes and priorities to assist in achieving equity of Māori health outcomes.</w:t>
            </w:r>
          </w:p>
        </w:tc>
        <w:tc>
          <w:tcPr>
            <w:tcW w:w="584" w:type="pct"/>
            <w:vAlign w:val="center"/>
          </w:tcPr>
          <w:p w14:paraId="68DE1401"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2AB254B0"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000000"/>
                <w:sz w:val="20"/>
              </w:rPr>
              <w:t>2.2</w:t>
            </w:r>
          </w:p>
        </w:tc>
        <w:tc>
          <w:tcPr>
            <w:tcW w:w="507" w:type="pct"/>
            <w:shd w:val="clear" w:color="auto" w:fill="FFCCCC"/>
            <w:vAlign w:val="center"/>
          </w:tcPr>
          <w:p w14:paraId="1667B41D"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317A091C" w14:textId="77777777" w:rsidTr="00B564A3">
        <w:tc>
          <w:tcPr>
            <w:tcW w:w="594" w:type="pct"/>
            <w:vMerge/>
          </w:tcPr>
          <w:p w14:paraId="6D621D39" w14:textId="77777777" w:rsidR="00E52C07" w:rsidRPr="00E52C07" w:rsidRDefault="00E52C07" w:rsidP="00E52C07">
            <w:pPr>
              <w:spacing w:after="200" w:line="280" w:lineRule="exact"/>
              <w:rPr>
                <w:rFonts w:eastAsia="SimSun" w:cs="Times New Roman"/>
                <w:sz w:val="20"/>
              </w:rPr>
            </w:pPr>
          </w:p>
        </w:tc>
        <w:tc>
          <w:tcPr>
            <w:tcW w:w="1137" w:type="pct"/>
            <w:vMerge/>
          </w:tcPr>
          <w:p w14:paraId="6807FE54"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15B4C8A4"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Disparity areas identified will be prioritised in the research agenda.</w:t>
            </w:r>
          </w:p>
        </w:tc>
        <w:tc>
          <w:tcPr>
            <w:tcW w:w="584" w:type="pct"/>
            <w:shd w:val="clear" w:color="auto" w:fill="FFFFAB"/>
            <w:vAlign w:val="center"/>
          </w:tcPr>
          <w:p w14:paraId="5381F32D" w14:textId="77777777" w:rsidR="00E52C07" w:rsidRPr="00E52C07" w:rsidRDefault="00E52C07" w:rsidP="00E52C07">
            <w:pPr>
              <w:spacing w:after="200" w:line="280" w:lineRule="exact"/>
              <w:rPr>
                <w:rFonts w:ascii="Century Gothic" w:eastAsia="Century Gothic" w:hAnsi="Century Gothic" w:cs="Century Gothic"/>
                <w:color w:val="202124"/>
                <w:position w:val="8"/>
                <w:sz w:val="16"/>
              </w:rPr>
            </w:pPr>
          </w:p>
          <w:p w14:paraId="3B5AD6A5"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1.1</w:t>
            </w:r>
          </w:p>
        </w:tc>
        <w:tc>
          <w:tcPr>
            <w:tcW w:w="549" w:type="pct"/>
            <w:shd w:val="clear" w:color="auto" w:fill="FFCB7D"/>
            <w:vAlign w:val="center"/>
          </w:tcPr>
          <w:p w14:paraId="26E954DB"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60691206"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2.2</w:t>
            </w:r>
          </w:p>
        </w:tc>
        <w:tc>
          <w:tcPr>
            <w:tcW w:w="507" w:type="pct"/>
            <w:shd w:val="clear" w:color="auto" w:fill="FFCCCC"/>
            <w:vAlign w:val="center"/>
          </w:tcPr>
          <w:p w14:paraId="39E5606C"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2FB0ECD2"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3B441DF6" w14:textId="77777777" w:rsidTr="00B564A3">
        <w:tc>
          <w:tcPr>
            <w:tcW w:w="594" w:type="pct"/>
            <w:vMerge/>
          </w:tcPr>
          <w:p w14:paraId="31BC4253" w14:textId="77777777" w:rsidR="00E52C07" w:rsidRPr="00E52C07" w:rsidRDefault="00E52C07" w:rsidP="00E52C07">
            <w:pPr>
              <w:spacing w:after="200" w:line="280" w:lineRule="exact"/>
              <w:rPr>
                <w:rFonts w:eastAsia="SimSun" w:cs="Times New Roman"/>
                <w:sz w:val="20"/>
              </w:rPr>
            </w:pPr>
          </w:p>
        </w:tc>
        <w:tc>
          <w:tcPr>
            <w:tcW w:w="1137" w:type="pct"/>
            <w:vMerge/>
          </w:tcPr>
          <w:p w14:paraId="1E494B1D"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7CD34CA8" w14:textId="77777777" w:rsidR="00E52C07" w:rsidRPr="00E52C07" w:rsidRDefault="00E52C07" w:rsidP="00E52C07">
            <w:pPr>
              <w:contextualSpacing/>
              <w:rPr>
                <w:rFonts w:ascii="Century Gothic" w:eastAsia="Century Gothic" w:hAnsi="Century Gothic" w:cs="Century Gothic"/>
                <w:sz w:val="20"/>
              </w:rPr>
            </w:pPr>
            <w:r w:rsidRPr="00E52C07">
              <w:rPr>
                <w:rFonts w:ascii="Century Gothic" w:eastAsia="Century Gothic" w:hAnsi="Century Gothic" w:cs="Century Gothic"/>
                <w:sz w:val="20"/>
              </w:rPr>
              <w:t>Development of Māori capability to achieve equity.</w:t>
            </w:r>
          </w:p>
        </w:tc>
        <w:tc>
          <w:tcPr>
            <w:tcW w:w="584" w:type="pct"/>
            <w:shd w:val="clear" w:color="auto" w:fill="FFFFAB"/>
            <w:vAlign w:val="center"/>
          </w:tcPr>
          <w:p w14:paraId="5130C0EA" w14:textId="77777777" w:rsidR="00E52C07" w:rsidRPr="00E52C07" w:rsidRDefault="00E52C07" w:rsidP="00E52C07">
            <w:pPr>
              <w:spacing w:after="200" w:line="280" w:lineRule="exact"/>
              <w:jc w:val="center"/>
              <w:rPr>
                <w:rFonts w:ascii="Century Gothic" w:eastAsia="Century Gothic" w:hAnsi="Century Gothic" w:cs="Century Gothic"/>
                <w:color w:val="202124"/>
                <w:position w:val="8"/>
                <w:sz w:val="16"/>
              </w:rPr>
            </w:pPr>
          </w:p>
          <w:p w14:paraId="5665C2D3"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1.1</w:t>
            </w:r>
          </w:p>
        </w:tc>
        <w:tc>
          <w:tcPr>
            <w:tcW w:w="549" w:type="pct"/>
            <w:shd w:val="clear" w:color="auto" w:fill="FFCB7D"/>
            <w:vAlign w:val="center"/>
          </w:tcPr>
          <w:p w14:paraId="18EFEF1F"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47B54344"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2.2</w:t>
            </w:r>
          </w:p>
        </w:tc>
        <w:tc>
          <w:tcPr>
            <w:tcW w:w="507" w:type="pct"/>
            <w:shd w:val="clear" w:color="auto" w:fill="FFCCCC"/>
            <w:vAlign w:val="center"/>
          </w:tcPr>
          <w:p w14:paraId="0FE25ABA"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79BF4EEF"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71A96A78" w14:textId="77777777" w:rsidTr="00B564A3">
        <w:tc>
          <w:tcPr>
            <w:tcW w:w="594" w:type="pct"/>
            <w:vMerge w:val="restart"/>
          </w:tcPr>
          <w:p w14:paraId="3F3E3903"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11E0F57"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093F61FD"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F9ED12B"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6ACB498B"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Active Protection</w:t>
            </w:r>
          </w:p>
        </w:tc>
        <w:tc>
          <w:tcPr>
            <w:tcW w:w="1137" w:type="pct"/>
            <w:vMerge w:val="restart"/>
          </w:tcPr>
          <w:p w14:paraId="13D13B0E"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The work programme priorities are determined by conditions that have the greatest impact on improving health outcomes for Māori.</w:t>
            </w:r>
          </w:p>
          <w:p w14:paraId="5CD34EBE"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 xml:space="preserve">Quality research supports the provision of services (that achieves better health and wellbeing for Māori and the population as a whole. </w:t>
            </w:r>
          </w:p>
          <w:p w14:paraId="3180B3E1"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 xml:space="preserve">Data sovereignty and </w:t>
            </w:r>
            <w:proofErr w:type="spellStart"/>
            <w:r w:rsidRPr="00E52C07">
              <w:rPr>
                <w:rFonts w:ascii="Century Gothic" w:eastAsia="Century Gothic" w:hAnsi="Century Gothic" w:cs="Century Gothic"/>
                <w:sz w:val="20"/>
              </w:rPr>
              <w:t>Mātauranga</w:t>
            </w:r>
            <w:proofErr w:type="spellEnd"/>
            <w:r w:rsidRPr="00E52C07">
              <w:rPr>
                <w:rFonts w:ascii="Century Gothic" w:eastAsia="Century Gothic" w:hAnsi="Century Gothic" w:cs="Century Gothic"/>
                <w:sz w:val="20"/>
              </w:rPr>
              <w:t xml:space="preserve"> Māori are recognised and protected.  </w:t>
            </w:r>
          </w:p>
          <w:p w14:paraId="318184F3"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 xml:space="preserve">An inclusive and enabling environment is established for </w:t>
            </w:r>
            <w:proofErr w:type="spellStart"/>
            <w:r w:rsidRPr="00E52C07">
              <w:rPr>
                <w:rFonts w:ascii="Century Gothic" w:eastAsia="Century Gothic" w:hAnsi="Century Gothic" w:cs="Century Gothic"/>
                <w:sz w:val="20"/>
              </w:rPr>
              <w:t>tangata</w:t>
            </w:r>
            <w:proofErr w:type="spellEnd"/>
            <w:r w:rsidRPr="00E52C07">
              <w:rPr>
                <w:rFonts w:ascii="Century Gothic" w:eastAsia="Century Gothic" w:hAnsi="Century Gothic" w:cs="Century Gothic"/>
                <w:sz w:val="20"/>
              </w:rPr>
              <w:t xml:space="preserve"> Māori.</w:t>
            </w:r>
          </w:p>
        </w:tc>
        <w:tc>
          <w:tcPr>
            <w:tcW w:w="1629" w:type="pct"/>
            <w:vAlign w:val="center"/>
          </w:tcPr>
          <w:p w14:paraId="50D61952"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Consideration and prioritisation of programmes that will lead to the active protection of Māori health and well-being.</w:t>
            </w:r>
          </w:p>
        </w:tc>
        <w:tc>
          <w:tcPr>
            <w:tcW w:w="584" w:type="pct"/>
            <w:vAlign w:val="center"/>
          </w:tcPr>
          <w:p w14:paraId="40963DB9"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5ECAC15D"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236900DA"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0E526C89"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000000"/>
                <w:sz w:val="20"/>
              </w:rPr>
              <w:t>2.2</w:t>
            </w:r>
          </w:p>
        </w:tc>
        <w:tc>
          <w:tcPr>
            <w:tcW w:w="507" w:type="pct"/>
            <w:shd w:val="clear" w:color="auto" w:fill="FFCCCC"/>
            <w:vAlign w:val="center"/>
          </w:tcPr>
          <w:p w14:paraId="0B1A863C"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139C63B2"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711D55EC" w14:textId="77777777" w:rsidTr="00B564A3">
        <w:tc>
          <w:tcPr>
            <w:tcW w:w="594" w:type="pct"/>
            <w:vMerge/>
          </w:tcPr>
          <w:p w14:paraId="0B667063" w14:textId="77777777" w:rsidR="00E52C07" w:rsidRPr="00E52C07" w:rsidRDefault="00E52C07" w:rsidP="00E52C07">
            <w:pPr>
              <w:spacing w:after="200" w:line="280" w:lineRule="exact"/>
              <w:rPr>
                <w:rFonts w:eastAsia="SimSun" w:cs="Times New Roman"/>
                <w:sz w:val="20"/>
              </w:rPr>
            </w:pPr>
          </w:p>
        </w:tc>
        <w:tc>
          <w:tcPr>
            <w:tcW w:w="1137" w:type="pct"/>
            <w:vMerge/>
          </w:tcPr>
          <w:p w14:paraId="73F243ED"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3024E39E" w14:textId="77777777" w:rsidR="00E52C07" w:rsidRPr="00E52C07" w:rsidRDefault="00E52C07" w:rsidP="00E52C07">
            <w:pPr>
              <w:rPr>
                <w:rFonts w:ascii="Century Gothic" w:eastAsia="Century Gothic" w:hAnsi="Century Gothic" w:cs="Century Gothic"/>
                <w:color w:val="000000"/>
                <w:sz w:val="20"/>
              </w:rPr>
            </w:pPr>
            <w:r w:rsidRPr="00E52C07">
              <w:rPr>
                <w:rFonts w:ascii="Century Gothic" w:eastAsia="Century Gothic" w:hAnsi="Century Gothic" w:cs="Century Gothic"/>
                <w:sz w:val="20"/>
              </w:rPr>
              <w:t xml:space="preserve">Māori are involved in decision-making around ownership, collection and use of </w:t>
            </w:r>
            <w:proofErr w:type="spellStart"/>
            <w:r w:rsidRPr="00E52C07">
              <w:rPr>
                <w:rFonts w:ascii="Century Gothic" w:eastAsia="Century Gothic" w:hAnsi="Century Gothic" w:cs="Century Gothic"/>
                <w:sz w:val="20"/>
              </w:rPr>
              <w:t>mātauranga</w:t>
            </w:r>
            <w:proofErr w:type="spellEnd"/>
            <w:r w:rsidRPr="00E52C07">
              <w:rPr>
                <w:rFonts w:ascii="Century Gothic" w:eastAsia="Century Gothic" w:hAnsi="Century Gothic" w:cs="Century Gothic"/>
                <w:sz w:val="20"/>
              </w:rPr>
              <w:t xml:space="preserve"> Māori, information and data.</w:t>
            </w:r>
          </w:p>
        </w:tc>
        <w:tc>
          <w:tcPr>
            <w:tcW w:w="584" w:type="pct"/>
            <w:shd w:val="clear" w:color="auto" w:fill="FFFFAB"/>
            <w:vAlign w:val="center"/>
          </w:tcPr>
          <w:p w14:paraId="123CFC71" w14:textId="77777777" w:rsidR="00E52C07" w:rsidRPr="00E52C07" w:rsidRDefault="00E52C07" w:rsidP="00E52C07">
            <w:pPr>
              <w:spacing w:after="200"/>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1.1</w:t>
            </w:r>
          </w:p>
        </w:tc>
        <w:tc>
          <w:tcPr>
            <w:tcW w:w="549" w:type="pct"/>
            <w:shd w:val="clear" w:color="auto" w:fill="FFCB7D"/>
            <w:vAlign w:val="center"/>
          </w:tcPr>
          <w:p w14:paraId="48AD3EF0" w14:textId="77777777" w:rsidR="00E52C07" w:rsidRPr="00E52C07" w:rsidRDefault="00E52C07" w:rsidP="00E52C07">
            <w:pPr>
              <w:spacing w:after="200" w:line="280" w:lineRule="exact"/>
              <w:jc w:val="center"/>
              <w:rPr>
                <w:rFonts w:ascii="Century Gothic" w:eastAsia="Century Gothic" w:hAnsi="Century Gothic" w:cs="Century Gothic"/>
                <w:strike/>
                <w:color w:val="202124"/>
                <w:sz w:val="20"/>
              </w:rPr>
            </w:pPr>
            <w:r w:rsidRPr="00E52C07">
              <w:rPr>
                <w:rFonts w:ascii="Century Gothic" w:eastAsia="Century Gothic" w:hAnsi="Century Gothic" w:cs="Century Gothic"/>
                <w:color w:val="202124"/>
                <w:sz w:val="20"/>
              </w:rPr>
              <w:t>2.3</w:t>
            </w:r>
          </w:p>
        </w:tc>
        <w:tc>
          <w:tcPr>
            <w:tcW w:w="507" w:type="pct"/>
            <w:shd w:val="clear" w:color="auto" w:fill="FFCCCC"/>
            <w:vAlign w:val="center"/>
          </w:tcPr>
          <w:p w14:paraId="39544665"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67C9639D" w14:textId="77777777" w:rsidTr="00B564A3">
        <w:tc>
          <w:tcPr>
            <w:tcW w:w="594" w:type="pct"/>
            <w:vMerge/>
          </w:tcPr>
          <w:p w14:paraId="0D7638A5" w14:textId="77777777" w:rsidR="00E52C07" w:rsidRPr="00E52C07" w:rsidRDefault="00E52C07" w:rsidP="00E52C07">
            <w:pPr>
              <w:spacing w:after="200" w:line="280" w:lineRule="exact"/>
              <w:rPr>
                <w:rFonts w:eastAsia="SimSun" w:cs="Times New Roman"/>
                <w:sz w:val="20"/>
              </w:rPr>
            </w:pPr>
          </w:p>
        </w:tc>
        <w:tc>
          <w:tcPr>
            <w:tcW w:w="1137" w:type="pct"/>
            <w:vMerge/>
          </w:tcPr>
          <w:p w14:paraId="0B67D9CD"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2A1B485E"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 xml:space="preserve">Māori leadership is involved in decision-making around ownership, collection and use of </w:t>
            </w:r>
            <w:proofErr w:type="spellStart"/>
            <w:r w:rsidRPr="00E52C07">
              <w:rPr>
                <w:rFonts w:ascii="Century Gothic" w:eastAsia="Century Gothic" w:hAnsi="Century Gothic" w:cs="Century Gothic"/>
                <w:sz w:val="20"/>
              </w:rPr>
              <w:t>mātauranga</w:t>
            </w:r>
            <w:proofErr w:type="spellEnd"/>
            <w:r w:rsidRPr="00E52C07">
              <w:rPr>
                <w:rFonts w:ascii="Century Gothic" w:eastAsia="Century Gothic" w:hAnsi="Century Gothic" w:cs="Century Gothic"/>
                <w:sz w:val="20"/>
              </w:rPr>
              <w:t xml:space="preserve"> Māori, information and data.</w:t>
            </w:r>
          </w:p>
        </w:tc>
        <w:tc>
          <w:tcPr>
            <w:tcW w:w="584" w:type="pct"/>
            <w:vAlign w:val="center"/>
          </w:tcPr>
          <w:p w14:paraId="73B40F25"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5DB5E5D7" w14:textId="77777777" w:rsidR="00E52C07" w:rsidRPr="00E52C07" w:rsidRDefault="00E52C07" w:rsidP="00E52C07">
            <w:pPr>
              <w:spacing w:after="200"/>
              <w:jc w:val="center"/>
              <w:rPr>
                <w:rFonts w:ascii="Century Gothic" w:eastAsia="Century Gothic" w:hAnsi="Century Gothic" w:cs="Century Gothic"/>
                <w:strike/>
                <w:color w:val="000000"/>
                <w:sz w:val="20"/>
              </w:rPr>
            </w:pPr>
            <w:r w:rsidRPr="00E52C07">
              <w:rPr>
                <w:rFonts w:ascii="Century Gothic" w:eastAsia="Century Gothic" w:hAnsi="Century Gothic" w:cs="Century Gothic"/>
                <w:color w:val="202124"/>
                <w:sz w:val="20"/>
              </w:rPr>
              <w:t>2.3</w:t>
            </w:r>
          </w:p>
        </w:tc>
        <w:tc>
          <w:tcPr>
            <w:tcW w:w="507" w:type="pct"/>
            <w:shd w:val="clear" w:color="auto" w:fill="FFCCCC"/>
            <w:vAlign w:val="center"/>
          </w:tcPr>
          <w:p w14:paraId="263F5C6C"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67068C0D" w14:textId="77777777" w:rsidTr="00B564A3">
        <w:tc>
          <w:tcPr>
            <w:tcW w:w="594" w:type="pct"/>
            <w:vMerge/>
          </w:tcPr>
          <w:p w14:paraId="33FF69B5" w14:textId="77777777" w:rsidR="00E52C07" w:rsidRPr="00E52C07" w:rsidRDefault="00E52C07" w:rsidP="00E52C07">
            <w:pPr>
              <w:spacing w:after="200" w:line="280" w:lineRule="exact"/>
              <w:rPr>
                <w:rFonts w:eastAsia="SimSun" w:cs="Times New Roman"/>
                <w:sz w:val="20"/>
              </w:rPr>
            </w:pPr>
          </w:p>
        </w:tc>
        <w:tc>
          <w:tcPr>
            <w:tcW w:w="1137" w:type="pct"/>
            <w:vMerge/>
          </w:tcPr>
          <w:p w14:paraId="68871F44"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22C75DBB"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Personnel, protocols and policies reflect aspirations and contributions of Māori.</w:t>
            </w:r>
          </w:p>
        </w:tc>
        <w:tc>
          <w:tcPr>
            <w:tcW w:w="584" w:type="pct"/>
            <w:shd w:val="clear" w:color="auto" w:fill="FFFFAB"/>
            <w:vAlign w:val="center"/>
          </w:tcPr>
          <w:p w14:paraId="5563833C"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65AE6664"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1.1</w:t>
            </w:r>
          </w:p>
          <w:p w14:paraId="6E9B031C"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4BD341E2"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1.1</w:t>
            </w:r>
          </w:p>
        </w:tc>
        <w:tc>
          <w:tcPr>
            <w:tcW w:w="507" w:type="pct"/>
            <w:shd w:val="clear" w:color="auto" w:fill="FFCCCC"/>
            <w:vAlign w:val="center"/>
          </w:tcPr>
          <w:p w14:paraId="0293468F"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1DBC2DAC" w14:textId="77777777" w:rsidTr="00B564A3">
        <w:tc>
          <w:tcPr>
            <w:tcW w:w="594" w:type="pct"/>
          </w:tcPr>
          <w:p w14:paraId="0137C018"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2D11C61"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3B3A8FE7"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50AF6DFA"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Options</w:t>
            </w:r>
          </w:p>
        </w:tc>
        <w:tc>
          <w:tcPr>
            <w:tcW w:w="1137" w:type="pct"/>
          </w:tcPr>
          <w:p w14:paraId="751B0096"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lastRenderedPageBreak/>
              <w:t>Research pathways meet key quality criteria.</w:t>
            </w:r>
          </w:p>
          <w:p w14:paraId="27F2627F"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lastRenderedPageBreak/>
              <w:t>Kaupapa Māori and other differences such as geography are accommodated.</w:t>
            </w:r>
          </w:p>
          <w:p w14:paraId="18B95A1C"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Research programmes contribute to greater access to health and wellbeing services for Māori.</w:t>
            </w:r>
          </w:p>
        </w:tc>
        <w:tc>
          <w:tcPr>
            <w:tcW w:w="1629" w:type="pct"/>
            <w:vAlign w:val="center"/>
          </w:tcPr>
          <w:p w14:paraId="19C2B1F3"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lastRenderedPageBreak/>
              <w:t xml:space="preserve">The MWC enables research options that provide localised, specific programmes and </w:t>
            </w:r>
            <w:r w:rsidRPr="00E52C07">
              <w:rPr>
                <w:rFonts w:ascii="Century Gothic" w:eastAsia="Century Gothic" w:hAnsi="Century Gothic" w:cs="Century Gothic"/>
                <w:sz w:val="20"/>
              </w:rPr>
              <w:lastRenderedPageBreak/>
              <w:t>research which incorporates diverse communities, including Māori communities.</w:t>
            </w:r>
          </w:p>
        </w:tc>
        <w:tc>
          <w:tcPr>
            <w:tcW w:w="584" w:type="pct"/>
            <w:vAlign w:val="center"/>
          </w:tcPr>
          <w:p w14:paraId="5D317F95"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p>
          <w:p w14:paraId="4EF85BD5"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49" w:type="pct"/>
            <w:shd w:val="clear" w:color="auto" w:fill="FFCB7D"/>
            <w:vAlign w:val="center"/>
          </w:tcPr>
          <w:p w14:paraId="28E7D904"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lastRenderedPageBreak/>
              <w:t>1.1</w:t>
            </w:r>
          </w:p>
          <w:p w14:paraId="617D31BD" w14:textId="77777777" w:rsidR="00E52C07" w:rsidRPr="00E52C07" w:rsidRDefault="00E52C07" w:rsidP="00E52C07">
            <w:pPr>
              <w:spacing w:after="200"/>
              <w:jc w:val="center"/>
              <w:rPr>
                <w:rFonts w:ascii="Century Gothic" w:eastAsia="Century Gothic" w:hAnsi="Century Gothic" w:cs="Century Gothic"/>
                <w:color w:val="000000"/>
                <w:sz w:val="20"/>
              </w:rPr>
            </w:pPr>
          </w:p>
        </w:tc>
        <w:tc>
          <w:tcPr>
            <w:tcW w:w="507" w:type="pct"/>
            <w:shd w:val="clear" w:color="auto" w:fill="FFCCCC"/>
            <w:vAlign w:val="center"/>
          </w:tcPr>
          <w:p w14:paraId="1AE9FDD9" w14:textId="77777777" w:rsidR="00E52C07" w:rsidRPr="00E52C07" w:rsidRDefault="00E52C07" w:rsidP="00E52C07">
            <w:pPr>
              <w:spacing w:after="200"/>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lastRenderedPageBreak/>
              <w:t>3.1</w:t>
            </w:r>
          </w:p>
        </w:tc>
      </w:tr>
      <w:tr w:rsidR="00E52C07" w:rsidRPr="00E52C07" w14:paraId="7DCC3A1D" w14:textId="77777777" w:rsidTr="00B564A3">
        <w:trPr>
          <w:trHeight w:val="707"/>
        </w:trPr>
        <w:tc>
          <w:tcPr>
            <w:tcW w:w="594" w:type="pct"/>
            <w:vMerge w:val="restart"/>
          </w:tcPr>
          <w:p w14:paraId="5730F008"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0B7546DD"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2D2C4B9A" w14:textId="77777777" w:rsidR="00E52C07" w:rsidRPr="00E52C07" w:rsidRDefault="00E52C07" w:rsidP="00E52C07">
            <w:pPr>
              <w:spacing w:after="200" w:line="280" w:lineRule="exact"/>
              <w:jc w:val="center"/>
              <w:rPr>
                <w:rFonts w:ascii="Century Gothic" w:eastAsia="Century Gothic" w:hAnsi="Century Gothic" w:cs="Century Gothic"/>
                <w:b/>
                <w:bCs/>
                <w:sz w:val="20"/>
              </w:rPr>
            </w:pPr>
          </w:p>
          <w:p w14:paraId="175D1915" w14:textId="77777777" w:rsidR="00E52C07" w:rsidRPr="00E52C07" w:rsidRDefault="00E52C07" w:rsidP="00E52C07">
            <w:pPr>
              <w:spacing w:after="200" w:line="280" w:lineRule="exact"/>
              <w:jc w:val="center"/>
              <w:rPr>
                <w:rFonts w:ascii="Century Gothic" w:eastAsia="Century Gothic" w:hAnsi="Century Gothic" w:cs="Century Gothic"/>
                <w:b/>
                <w:bCs/>
                <w:sz w:val="20"/>
              </w:rPr>
            </w:pPr>
            <w:r w:rsidRPr="00E52C07">
              <w:rPr>
                <w:rFonts w:ascii="Century Gothic" w:eastAsia="Century Gothic" w:hAnsi="Century Gothic" w:cs="Century Gothic"/>
                <w:b/>
                <w:bCs/>
                <w:sz w:val="20"/>
              </w:rPr>
              <w:t>Partnership</w:t>
            </w:r>
          </w:p>
        </w:tc>
        <w:tc>
          <w:tcPr>
            <w:tcW w:w="1137" w:type="pct"/>
            <w:vMerge w:val="restart"/>
          </w:tcPr>
          <w:p w14:paraId="6997EEB4" w14:textId="77777777" w:rsidR="00E52C07" w:rsidRPr="00E52C07" w:rsidRDefault="00E52C07" w:rsidP="00E52C07">
            <w:pPr>
              <w:spacing w:after="200" w:line="280" w:lineRule="exact"/>
              <w:rPr>
                <w:rFonts w:ascii="Century Gothic" w:eastAsia="Century Gothic" w:hAnsi="Century Gothic" w:cs="Century Gothic"/>
                <w:sz w:val="20"/>
              </w:rPr>
            </w:pPr>
            <w:r w:rsidRPr="00E52C07">
              <w:rPr>
                <w:rFonts w:ascii="Century Gothic" w:eastAsia="Century Gothic" w:hAnsi="Century Gothic" w:cs="Century Gothic"/>
                <w:sz w:val="20"/>
              </w:rPr>
              <w:t xml:space="preserve">Evidence informs us that only when we work in partnership in the governance, design, delivery and monitoring of health research services, can we improve health outcomes and wellbeing for Māori.  By doing so, we should also be able to achieve whole of population equity and wellbeing. </w:t>
            </w:r>
          </w:p>
          <w:p w14:paraId="04AD5273" w14:textId="77777777" w:rsidR="00E52C07" w:rsidRPr="00E52C07" w:rsidRDefault="00E52C07" w:rsidP="00E52C07">
            <w:pPr>
              <w:spacing w:after="200" w:line="280" w:lineRule="exact"/>
              <w:rPr>
                <w:rFonts w:ascii="Century Gothic" w:eastAsia="Century Gothic" w:hAnsi="Century Gothic" w:cs="Century Gothic"/>
                <w:sz w:val="20"/>
              </w:rPr>
            </w:pPr>
          </w:p>
        </w:tc>
        <w:tc>
          <w:tcPr>
            <w:tcW w:w="1629" w:type="pct"/>
            <w:vAlign w:val="center"/>
          </w:tcPr>
          <w:p w14:paraId="0840BE34"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Collaborative relationships grounded in trust and reciprocity define participation by all parties.</w:t>
            </w:r>
          </w:p>
        </w:tc>
        <w:tc>
          <w:tcPr>
            <w:tcW w:w="584" w:type="pct"/>
            <w:shd w:val="clear" w:color="auto" w:fill="FFFFAB"/>
            <w:vAlign w:val="center"/>
          </w:tcPr>
          <w:p w14:paraId="36CD7BC0"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1.2</w:t>
            </w:r>
          </w:p>
        </w:tc>
        <w:tc>
          <w:tcPr>
            <w:tcW w:w="549" w:type="pct"/>
            <w:shd w:val="clear" w:color="auto" w:fill="FFCB7D"/>
            <w:vAlign w:val="center"/>
          </w:tcPr>
          <w:p w14:paraId="04114AB2"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2.3</w:t>
            </w:r>
          </w:p>
        </w:tc>
        <w:tc>
          <w:tcPr>
            <w:tcW w:w="507" w:type="pct"/>
            <w:shd w:val="clear" w:color="auto" w:fill="FFCCCC"/>
            <w:vAlign w:val="center"/>
          </w:tcPr>
          <w:p w14:paraId="266B4F41"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r w:rsidR="00E52C07" w:rsidRPr="00E52C07" w14:paraId="3BE36FAD" w14:textId="77777777" w:rsidTr="00B564A3">
        <w:trPr>
          <w:trHeight w:val="707"/>
        </w:trPr>
        <w:tc>
          <w:tcPr>
            <w:tcW w:w="594" w:type="pct"/>
            <w:vMerge/>
          </w:tcPr>
          <w:p w14:paraId="1EDE7202" w14:textId="77777777" w:rsidR="00E52C07" w:rsidRPr="00E52C07" w:rsidRDefault="00E52C07" w:rsidP="00E52C07">
            <w:pPr>
              <w:spacing w:after="200" w:line="280" w:lineRule="exact"/>
              <w:rPr>
                <w:rFonts w:eastAsia="SimSun" w:cs="Times New Roman"/>
                <w:sz w:val="20"/>
              </w:rPr>
            </w:pPr>
          </w:p>
        </w:tc>
        <w:tc>
          <w:tcPr>
            <w:tcW w:w="1137" w:type="pct"/>
            <w:vMerge/>
          </w:tcPr>
          <w:p w14:paraId="56C879C9"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63F503A9"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Research pathways and proposed research must be co-designed with Māori to ensure they meet the needs of the Māori population and are guided by Māori health research experts to areas that may provide the greatest positive impacts.</w:t>
            </w:r>
          </w:p>
        </w:tc>
        <w:tc>
          <w:tcPr>
            <w:tcW w:w="584" w:type="pct"/>
            <w:vAlign w:val="center"/>
          </w:tcPr>
          <w:p w14:paraId="499A5CF6"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p>
        </w:tc>
        <w:tc>
          <w:tcPr>
            <w:tcW w:w="549" w:type="pct"/>
            <w:shd w:val="clear" w:color="auto" w:fill="FFCB7D"/>
            <w:vAlign w:val="center"/>
          </w:tcPr>
          <w:p w14:paraId="41ED18CB" w14:textId="77777777" w:rsidR="00E52C07" w:rsidRPr="00E52C07" w:rsidRDefault="00E52C07" w:rsidP="00E52C07">
            <w:pPr>
              <w:spacing w:after="200" w:line="280" w:lineRule="exact"/>
              <w:rPr>
                <w:rFonts w:ascii="Century Gothic" w:eastAsia="Century Gothic" w:hAnsi="Century Gothic" w:cs="Century Gothic"/>
                <w:color w:val="202124"/>
                <w:sz w:val="20"/>
              </w:rPr>
            </w:pPr>
          </w:p>
          <w:p w14:paraId="3FDCEBE7"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2.3</w:t>
            </w:r>
          </w:p>
        </w:tc>
        <w:tc>
          <w:tcPr>
            <w:tcW w:w="507" w:type="pct"/>
            <w:shd w:val="clear" w:color="auto" w:fill="FFCCCC"/>
            <w:vAlign w:val="center"/>
          </w:tcPr>
          <w:p w14:paraId="1952D3B0" w14:textId="77777777" w:rsidR="00E52C07" w:rsidRPr="00E52C07" w:rsidRDefault="00E52C07" w:rsidP="00E52C07">
            <w:pPr>
              <w:spacing w:after="200" w:line="280" w:lineRule="exact"/>
              <w:rPr>
                <w:rFonts w:ascii="Century Gothic" w:eastAsia="Century Gothic" w:hAnsi="Century Gothic" w:cs="Century Gothic"/>
                <w:color w:val="202124"/>
                <w:sz w:val="20"/>
              </w:rPr>
            </w:pPr>
          </w:p>
          <w:p w14:paraId="198FC774"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5211FC78" w14:textId="77777777" w:rsidTr="00B564A3">
        <w:trPr>
          <w:trHeight w:val="707"/>
        </w:trPr>
        <w:tc>
          <w:tcPr>
            <w:tcW w:w="594" w:type="pct"/>
            <w:vMerge/>
          </w:tcPr>
          <w:p w14:paraId="1F402514" w14:textId="77777777" w:rsidR="00E52C07" w:rsidRPr="00E52C07" w:rsidRDefault="00E52C07" w:rsidP="00E52C07">
            <w:pPr>
              <w:spacing w:after="200" w:line="280" w:lineRule="exact"/>
              <w:rPr>
                <w:rFonts w:eastAsia="SimSun" w:cs="Times New Roman"/>
                <w:sz w:val="20"/>
              </w:rPr>
            </w:pPr>
          </w:p>
        </w:tc>
        <w:tc>
          <w:tcPr>
            <w:tcW w:w="1137" w:type="pct"/>
            <w:vMerge/>
          </w:tcPr>
          <w:p w14:paraId="7ADB32F3"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463E8771"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Māori leadership will be provided to determine the stewardship, use, control and safety of data and other information.</w:t>
            </w:r>
          </w:p>
        </w:tc>
        <w:tc>
          <w:tcPr>
            <w:tcW w:w="584" w:type="pct"/>
            <w:vAlign w:val="center"/>
          </w:tcPr>
          <w:p w14:paraId="67DEDAEE"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p>
        </w:tc>
        <w:tc>
          <w:tcPr>
            <w:tcW w:w="549" w:type="pct"/>
            <w:vAlign w:val="center"/>
          </w:tcPr>
          <w:p w14:paraId="6B81D757"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p>
        </w:tc>
        <w:tc>
          <w:tcPr>
            <w:tcW w:w="507" w:type="pct"/>
            <w:shd w:val="clear" w:color="auto" w:fill="FFCCCC"/>
            <w:vAlign w:val="center"/>
          </w:tcPr>
          <w:p w14:paraId="6F2F209C" w14:textId="77777777" w:rsidR="00E52C07" w:rsidRPr="00E52C07" w:rsidRDefault="00E52C07" w:rsidP="00E52C07">
            <w:pPr>
              <w:spacing w:after="200" w:line="280" w:lineRule="exact"/>
              <w:rPr>
                <w:rFonts w:ascii="Century Gothic" w:eastAsia="Century Gothic" w:hAnsi="Century Gothic" w:cs="Century Gothic"/>
                <w:color w:val="202124"/>
                <w:sz w:val="20"/>
              </w:rPr>
            </w:pPr>
          </w:p>
          <w:p w14:paraId="7E02F22F"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r w:rsidRPr="00E52C07">
              <w:rPr>
                <w:rFonts w:ascii="Century Gothic" w:eastAsia="Century Gothic" w:hAnsi="Century Gothic" w:cs="Century Gothic"/>
                <w:color w:val="202124"/>
                <w:sz w:val="20"/>
              </w:rPr>
              <w:t>3.1</w:t>
            </w:r>
          </w:p>
        </w:tc>
      </w:tr>
      <w:tr w:rsidR="00E52C07" w:rsidRPr="00E52C07" w14:paraId="438FCE27" w14:textId="77777777" w:rsidTr="00B564A3">
        <w:trPr>
          <w:trHeight w:val="707"/>
        </w:trPr>
        <w:tc>
          <w:tcPr>
            <w:tcW w:w="594" w:type="pct"/>
            <w:vMerge/>
          </w:tcPr>
          <w:p w14:paraId="170F6A21" w14:textId="77777777" w:rsidR="00E52C07" w:rsidRPr="00E52C07" w:rsidRDefault="00E52C07" w:rsidP="00E52C07">
            <w:pPr>
              <w:spacing w:after="200" w:line="280" w:lineRule="exact"/>
              <w:rPr>
                <w:rFonts w:eastAsia="SimSun" w:cs="Times New Roman"/>
                <w:sz w:val="20"/>
              </w:rPr>
            </w:pPr>
          </w:p>
        </w:tc>
        <w:tc>
          <w:tcPr>
            <w:tcW w:w="1137" w:type="pct"/>
            <w:vMerge/>
          </w:tcPr>
          <w:p w14:paraId="456721FF" w14:textId="77777777" w:rsidR="00E52C07" w:rsidRPr="00E52C07" w:rsidRDefault="00E52C07" w:rsidP="00E52C07">
            <w:pPr>
              <w:spacing w:after="200" w:line="280" w:lineRule="exact"/>
              <w:rPr>
                <w:rFonts w:eastAsia="SimSun" w:cs="Times New Roman"/>
                <w:sz w:val="20"/>
              </w:rPr>
            </w:pPr>
          </w:p>
        </w:tc>
        <w:tc>
          <w:tcPr>
            <w:tcW w:w="1629" w:type="pct"/>
            <w:vAlign w:val="center"/>
          </w:tcPr>
          <w:p w14:paraId="208FFB58" w14:textId="77777777" w:rsidR="00E52C07" w:rsidRPr="00E52C07" w:rsidRDefault="00E52C07" w:rsidP="00E52C07">
            <w:pPr>
              <w:ind w:left="34"/>
              <w:contextualSpacing/>
              <w:rPr>
                <w:rFonts w:ascii="Century Gothic" w:eastAsia="Century Gothic" w:hAnsi="Century Gothic" w:cs="Century Gothic"/>
                <w:sz w:val="20"/>
              </w:rPr>
            </w:pPr>
            <w:r w:rsidRPr="00E52C07">
              <w:rPr>
                <w:rFonts w:ascii="Century Gothic" w:eastAsia="Century Gothic" w:hAnsi="Century Gothic" w:cs="Century Gothic"/>
                <w:sz w:val="20"/>
              </w:rPr>
              <w:t xml:space="preserve">The partnership must be grounded in a </w:t>
            </w:r>
            <w:proofErr w:type="spellStart"/>
            <w:r w:rsidRPr="00E52C07">
              <w:rPr>
                <w:rFonts w:ascii="Century Gothic" w:eastAsia="Century Gothic" w:hAnsi="Century Gothic" w:cs="Century Gothic"/>
                <w:sz w:val="20"/>
              </w:rPr>
              <w:t>Tiriti</w:t>
            </w:r>
            <w:proofErr w:type="spellEnd"/>
            <w:r w:rsidRPr="00E52C07">
              <w:rPr>
                <w:rFonts w:ascii="Century Gothic" w:eastAsia="Century Gothic" w:hAnsi="Century Gothic" w:cs="Century Gothic"/>
                <w:sz w:val="20"/>
              </w:rPr>
              <w:t xml:space="preserve"> framework that is consistent with a Māori worldview and one that enhances the mana of all.</w:t>
            </w:r>
          </w:p>
        </w:tc>
        <w:tc>
          <w:tcPr>
            <w:tcW w:w="584" w:type="pct"/>
            <w:vAlign w:val="center"/>
          </w:tcPr>
          <w:p w14:paraId="4EAA324A" w14:textId="77777777" w:rsidR="00E52C07" w:rsidRPr="00E52C07" w:rsidRDefault="00E52C07" w:rsidP="00E52C07">
            <w:pPr>
              <w:spacing w:after="200" w:line="280" w:lineRule="exact"/>
              <w:jc w:val="center"/>
              <w:rPr>
                <w:rFonts w:ascii="Century Gothic" w:eastAsia="Century Gothic" w:hAnsi="Century Gothic" w:cs="Century Gothic"/>
                <w:color w:val="000000"/>
                <w:sz w:val="20"/>
              </w:rPr>
            </w:pPr>
          </w:p>
        </w:tc>
        <w:tc>
          <w:tcPr>
            <w:tcW w:w="549" w:type="pct"/>
            <w:shd w:val="clear" w:color="auto" w:fill="FFCB7D"/>
            <w:vAlign w:val="center"/>
          </w:tcPr>
          <w:p w14:paraId="72581A1F"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2.3</w:t>
            </w:r>
          </w:p>
        </w:tc>
        <w:tc>
          <w:tcPr>
            <w:tcW w:w="507" w:type="pct"/>
            <w:shd w:val="clear" w:color="auto" w:fill="FFCCCC"/>
            <w:vAlign w:val="center"/>
          </w:tcPr>
          <w:p w14:paraId="38EEFDEA" w14:textId="77777777" w:rsidR="00E52C07" w:rsidRPr="00E52C07" w:rsidRDefault="00E52C07" w:rsidP="00E52C07">
            <w:pPr>
              <w:spacing w:after="200" w:line="280" w:lineRule="exact"/>
              <w:jc w:val="center"/>
              <w:rPr>
                <w:rFonts w:ascii="Century Gothic" w:eastAsia="Century Gothic" w:hAnsi="Century Gothic" w:cs="Century Gothic"/>
                <w:color w:val="202124"/>
                <w:sz w:val="20"/>
              </w:rPr>
            </w:pPr>
            <w:r w:rsidRPr="00E52C07">
              <w:rPr>
                <w:rFonts w:ascii="Century Gothic" w:eastAsia="Century Gothic" w:hAnsi="Century Gothic" w:cs="Century Gothic"/>
                <w:color w:val="202124"/>
                <w:sz w:val="20"/>
              </w:rPr>
              <w:t>3.1</w:t>
            </w:r>
          </w:p>
        </w:tc>
      </w:tr>
    </w:tbl>
    <w:p w14:paraId="7EE48754" w14:textId="77777777" w:rsidR="00E52C07" w:rsidRPr="00E52C07" w:rsidRDefault="00E52C07" w:rsidP="00E52C07">
      <w:pPr>
        <w:widowControl/>
        <w:autoSpaceDE/>
        <w:autoSpaceDN/>
        <w:spacing w:after="120" w:line="280" w:lineRule="exact"/>
        <w:jc w:val="both"/>
        <w:rPr>
          <w:rFonts w:ascii="Century Gothic" w:eastAsia="Century Gothic" w:hAnsi="Century Gothic" w:cs="Century Gothic"/>
          <w:sz w:val="20"/>
          <w:szCs w:val="20"/>
          <w:lang w:val="en-NZ"/>
        </w:rPr>
      </w:pPr>
    </w:p>
    <w:p w14:paraId="2028A791"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GB"/>
        </w:rPr>
        <w:t>1.1 There are Māori voices involved in research proposal assessment and priority setting; in most cases this will be sufficient to fulfil this requirement.</w:t>
      </w:r>
    </w:p>
    <w:p w14:paraId="52B11781"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1.2  Lead researchers are encouraged, where possible, to consider employing Māori researchers or developing Māori capability.  There is no obligation to meet this requirement.</w:t>
      </w:r>
    </w:p>
    <w:p w14:paraId="6EDF81AF"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lastRenderedPageBreak/>
        <w:t xml:space="preserve">2.1  The </w:t>
      </w:r>
      <w:proofErr w:type="spellStart"/>
      <w:r w:rsidRPr="00E52C07">
        <w:rPr>
          <w:rFonts w:ascii="Century Gothic" w:eastAsia="Century Gothic" w:hAnsi="Century Gothic" w:cs="Century Gothic"/>
          <w:sz w:val="20"/>
          <w:szCs w:val="20"/>
          <w:lang w:val="en-NZ"/>
        </w:rPr>
        <w:t>Kaiārahi</w:t>
      </w:r>
      <w:proofErr w:type="spellEnd"/>
      <w:r w:rsidRPr="00E52C07">
        <w:rPr>
          <w:rFonts w:ascii="Century Gothic" w:eastAsia="Century Gothic" w:hAnsi="Century Gothic" w:cs="Century Gothic"/>
          <w:sz w:val="20"/>
          <w:szCs w:val="20"/>
          <w:lang w:val="en-NZ"/>
        </w:rPr>
        <w:t xml:space="preserve"> position will advise on (a) the necessary considerations in the research proposal (these considerations can be the subject of consultation with research leads); and (b) a pathway to ensure that Māori voices are equally heard in governance and decision-making settings.  To some extent, this is covered by having Māori voices in research assessment.</w:t>
      </w:r>
    </w:p>
    <w:p w14:paraId="0F7EFDE7"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2.2  Engaging both parties can bring to light the protocols and kawa needed.</w:t>
      </w:r>
    </w:p>
    <w:p w14:paraId="15DF4CFB"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2.3  Specific groups or individuals who can work with researchers need to be identified.  Consideration for renumeration for involvement should be given.</w:t>
      </w:r>
    </w:p>
    <w:p w14:paraId="3298E64B" w14:textId="77777777" w:rsidR="00E52C07" w:rsidRPr="00E52C07" w:rsidRDefault="00E52C07" w:rsidP="00E52C07">
      <w:pPr>
        <w:widowControl/>
        <w:autoSpaceDE/>
        <w:autoSpaceDN/>
        <w:spacing w:after="200" w:line="280" w:lineRule="exact"/>
        <w:rPr>
          <w:rFonts w:ascii="Century Gothic" w:eastAsia="Century Gothic" w:hAnsi="Century Gothic" w:cs="Century Gothic"/>
          <w:sz w:val="20"/>
          <w:szCs w:val="20"/>
          <w:lang w:val="en-NZ"/>
        </w:rPr>
      </w:pPr>
      <w:r w:rsidRPr="00E52C07">
        <w:rPr>
          <w:rFonts w:ascii="Century Gothic" w:eastAsia="Century Gothic" w:hAnsi="Century Gothic" w:cs="Century Gothic"/>
          <w:sz w:val="20"/>
          <w:szCs w:val="20"/>
          <w:lang w:val="en-NZ"/>
        </w:rPr>
        <w:t>3.1  Refer to diagram ‘End to End Research Process’ in Appendix 2 for guidance.</w:t>
      </w:r>
    </w:p>
    <w:p w14:paraId="352DACCB" w14:textId="77777777" w:rsidR="00EA29C5" w:rsidRPr="00B6047A" w:rsidRDefault="00EA29C5" w:rsidP="00EA29C5">
      <w:pPr>
        <w:spacing w:after="120" w:line="280" w:lineRule="exact"/>
        <w:rPr>
          <w:rFonts w:ascii="Century Gothic" w:eastAsia="Century Gothic" w:hAnsi="Century Gothic" w:cs="Century Gothic"/>
          <w:b/>
          <w:bCs/>
          <w:sz w:val="20"/>
          <w:lang w:val="en-NZ"/>
        </w:rPr>
      </w:pPr>
    </w:p>
    <w:p w14:paraId="344ABA52" w14:textId="54673B26" w:rsidR="00EA29C5" w:rsidRPr="00B6047A" w:rsidRDefault="00EA29C5" w:rsidP="00EA29C5">
      <w:pPr>
        <w:rPr>
          <w:rFonts w:ascii="Century Gothic" w:eastAsia="Century Gothic" w:hAnsi="Century Gothic" w:cs="Century Gothic"/>
          <w:b/>
          <w:bCs/>
          <w:sz w:val="20"/>
          <w:lang w:val="en-NZ"/>
        </w:rPr>
      </w:pPr>
    </w:p>
    <w:p w14:paraId="65545F34" w14:textId="77777777" w:rsidR="00EA29C5" w:rsidRDefault="00EA29C5" w:rsidP="00EA29C5">
      <w:pPr>
        <w:rPr>
          <w:rFonts w:ascii="Arial" w:hAnsi="Arial" w:cs="Arial"/>
          <w:b/>
          <w:bCs/>
          <w:sz w:val="28"/>
          <w:szCs w:val="28"/>
        </w:rPr>
      </w:pPr>
    </w:p>
    <w:p w14:paraId="70D5410E" w14:textId="77777777" w:rsidR="00EA29C5" w:rsidRDefault="00EA29C5" w:rsidP="00EA29C5">
      <w:pPr>
        <w:rPr>
          <w:rFonts w:ascii="Arial" w:hAnsi="Arial" w:cs="Arial"/>
          <w:b/>
          <w:bCs/>
          <w:sz w:val="28"/>
          <w:szCs w:val="28"/>
        </w:rPr>
      </w:pPr>
    </w:p>
    <w:p w14:paraId="402D96E5" w14:textId="77777777" w:rsidR="00EA29C5" w:rsidRDefault="00EA29C5" w:rsidP="00EA29C5">
      <w:pPr>
        <w:rPr>
          <w:rFonts w:ascii="Arial" w:hAnsi="Arial" w:cs="Arial"/>
          <w:b/>
          <w:bCs/>
          <w:sz w:val="28"/>
          <w:szCs w:val="28"/>
        </w:rPr>
        <w:sectPr w:rsidR="00EA29C5" w:rsidSect="00EA29C5">
          <w:pgSz w:w="16839" w:h="11907" w:orient="landscape" w:code="9"/>
          <w:pgMar w:top="1440" w:right="1440" w:bottom="1440" w:left="1440" w:header="708" w:footer="708" w:gutter="0"/>
          <w:cols w:space="708"/>
          <w:docGrid w:linePitch="326"/>
        </w:sectPr>
      </w:pPr>
    </w:p>
    <w:p w14:paraId="16E3BBC4" w14:textId="4AB28464" w:rsidR="002331C1" w:rsidRPr="00BF1CA8" w:rsidRDefault="002331C1" w:rsidP="002331C1">
      <w:pPr>
        <w:rPr>
          <w:rFonts w:ascii="Arial" w:eastAsia="Times New Roman" w:hAnsi="Arial" w:cs="Arial"/>
          <w:b/>
          <w:bCs/>
          <w:color w:val="000000"/>
          <w:sz w:val="28"/>
          <w:szCs w:val="28"/>
          <w:lang w:eastAsia="en-GB"/>
        </w:rPr>
      </w:pPr>
      <w:r w:rsidRPr="002331C1">
        <w:rPr>
          <w:rFonts w:ascii="Arial" w:hAnsi="Arial" w:cs="Arial"/>
          <w:b/>
          <w:bCs/>
          <w:sz w:val="28"/>
          <w:szCs w:val="28"/>
        </w:rPr>
        <w:lastRenderedPageBreak/>
        <w:t xml:space="preserve">Appendix 3 </w:t>
      </w:r>
      <w:r w:rsidRPr="00BF1CA8">
        <w:rPr>
          <w:rFonts w:ascii="Arial" w:hAnsi="Arial" w:cs="Arial"/>
          <w:b/>
          <w:bCs/>
          <w:color w:val="000000"/>
          <w:sz w:val="28"/>
          <w:szCs w:val="28"/>
          <w:lang w:val="en-GB"/>
        </w:rPr>
        <w:t>Guidance on Māori and Pacific Health Advancement</w:t>
      </w:r>
    </w:p>
    <w:p w14:paraId="39A71C5B" w14:textId="77777777" w:rsidR="002331C1" w:rsidRPr="002E57FD" w:rsidRDefault="002331C1" w:rsidP="002331C1">
      <w:pPr>
        <w:rPr>
          <w:rFonts w:ascii="Arial" w:eastAsia="Times New Roman" w:hAnsi="Arial" w:cs="Arial"/>
          <w:b/>
          <w:bCs/>
          <w:color w:val="000000"/>
          <w:szCs w:val="18"/>
          <w:lang w:eastAsia="en-GB"/>
        </w:rPr>
      </w:pPr>
    </w:p>
    <w:p w14:paraId="5AF793D7" w14:textId="77777777"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color w:val="000000"/>
          <w:lang w:eastAsia="en-GB"/>
        </w:rPr>
        <w:t xml:space="preserve">A major area of focus for MWC is improved long-term health for Māori and Pacific communities.  The Centre has a Māori Engagement Strategy and Pacific Strategy to guide both the Centre and its investigators in supporting Māori and Pacific aspirations and advancing the impacts of health research within Māori and Pacific communities. </w:t>
      </w:r>
    </w:p>
    <w:p w14:paraId="66EF9591" w14:textId="77777777" w:rsidR="002331C1" w:rsidRPr="002E57FD" w:rsidRDefault="002331C1" w:rsidP="002331C1">
      <w:pPr>
        <w:rPr>
          <w:rFonts w:ascii="Arial" w:eastAsia="Times New Roman" w:hAnsi="Arial" w:cs="Arial"/>
          <w:color w:val="000000"/>
          <w:lang w:eastAsia="en-GB"/>
        </w:rPr>
      </w:pPr>
    </w:p>
    <w:p w14:paraId="1049BC30" w14:textId="6431F642"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color w:val="000000"/>
          <w:lang w:eastAsia="en-GB"/>
        </w:rPr>
        <w:t xml:space="preserve">The full Māori Engagement Strategy document can be accessed </w:t>
      </w:r>
      <w:r w:rsidR="009729B1">
        <w:rPr>
          <w:rFonts w:ascii="Arial" w:eastAsia="Times New Roman" w:hAnsi="Arial" w:cs="Arial"/>
          <w:color w:val="000000"/>
          <w:lang w:eastAsia="en-GB"/>
        </w:rPr>
        <w:t xml:space="preserve">(after member sign in) </w:t>
      </w:r>
      <w:r w:rsidRPr="002E57FD">
        <w:rPr>
          <w:rFonts w:ascii="Arial" w:eastAsia="Times New Roman" w:hAnsi="Arial" w:cs="Arial"/>
          <w:color w:val="000000"/>
          <w:lang w:eastAsia="en-GB"/>
        </w:rPr>
        <w:t xml:space="preserve">at </w:t>
      </w:r>
      <w:hyperlink r:id="rId11" w:history="1">
        <w:r w:rsidRPr="002E57FD">
          <w:rPr>
            <w:rStyle w:val="Hyperlink"/>
            <w:rFonts w:ascii="Arial" w:eastAsia="Times New Roman" w:hAnsi="Arial" w:cs="Arial"/>
            <w:lang w:eastAsia="en-GB"/>
          </w:rPr>
          <w:t>https://www.mauricewilkinscentr</w:t>
        </w:r>
        <w:r w:rsidRPr="002E57FD">
          <w:rPr>
            <w:rStyle w:val="Hyperlink"/>
            <w:rFonts w:ascii="Arial" w:eastAsia="Times New Roman" w:hAnsi="Arial" w:cs="Arial"/>
            <w:lang w:eastAsia="en-GB"/>
          </w:rPr>
          <w:t>e</w:t>
        </w:r>
        <w:r w:rsidRPr="002E57FD">
          <w:rPr>
            <w:rStyle w:val="Hyperlink"/>
            <w:rFonts w:ascii="Arial" w:eastAsia="Times New Roman" w:hAnsi="Arial" w:cs="Arial"/>
            <w:lang w:eastAsia="en-GB"/>
          </w:rPr>
          <w:t>.org/w</w:t>
        </w:r>
        <w:r w:rsidRPr="002E57FD">
          <w:rPr>
            <w:rStyle w:val="Hyperlink"/>
            <w:rFonts w:ascii="Arial" w:eastAsia="Times New Roman" w:hAnsi="Arial" w:cs="Arial"/>
            <w:lang w:eastAsia="en-GB"/>
          </w:rPr>
          <w:t>e</w:t>
        </w:r>
        <w:r w:rsidRPr="002E57FD">
          <w:rPr>
            <w:rStyle w:val="Hyperlink"/>
            <w:rFonts w:ascii="Arial" w:eastAsia="Times New Roman" w:hAnsi="Arial" w:cs="Arial"/>
            <w:lang w:eastAsia="en-GB"/>
          </w:rPr>
          <w:t>l</w:t>
        </w:r>
        <w:r w:rsidRPr="002E57FD">
          <w:rPr>
            <w:rStyle w:val="Hyperlink"/>
            <w:rFonts w:ascii="Arial" w:eastAsia="Times New Roman" w:hAnsi="Arial" w:cs="Arial"/>
            <w:lang w:eastAsia="en-GB"/>
          </w:rPr>
          <w:t>c</w:t>
        </w:r>
        <w:r w:rsidRPr="002E57FD">
          <w:rPr>
            <w:rStyle w:val="Hyperlink"/>
            <w:rFonts w:ascii="Arial" w:eastAsia="Times New Roman" w:hAnsi="Arial" w:cs="Arial"/>
            <w:lang w:eastAsia="en-GB"/>
          </w:rPr>
          <w:t>ome/mwc-m%C4%81ori-engagement-strategy/</w:t>
        </w:r>
      </w:hyperlink>
      <w:r w:rsidRPr="002E57FD">
        <w:rPr>
          <w:rFonts w:ascii="Arial" w:eastAsia="Times New Roman" w:hAnsi="Arial" w:cs="Arial"/>
          <w:color w:val="000000"/>
          <w:lang w:eastAsia="en-GB"/>
        </w:rPr>
        <w:t xml:space="preserve"> </w:t>
      </w:r>
    </w:p>
    <w:p w14:paraId="77C52F1D" w14:textId="77777777" w:rsidR="002331C1" w:rsidRPr="002E57FD" w:rsidRDefault="002331C1" w:rsidP="002331C1">
      <w:pPr>
        <w:rPr>
          <w:rFonts w:ascii="Arial" w:eastAsia="Times New Roman" w:hAnsi="Arial" w:cs="Arial"/>
          <w:color w:val="000000"/>
          <w:lang w:eastAsia="en-GB"/>
        </w:rPr>
      </w:pPr>
    </w:p>
    <w:p w14:paraId="62AD55C8" w14:textId="77777777"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color w:val="000000"/>
          <w:lang w:eastAsia="en-GB"/>
        </w:rPr>
        <w:t xml:space="preserve">The public version of the MWC Pacific Strategy can be accessed at </w:t>
      </w:r>
      <w:hyperlink r:id="rId12" w:history="1">
        <w:r w:rsidRPr="003E1012">
          <w:rPr>
            <w:rStyle w:val="Hyperlink"/>
            <w:rFonts w:ascii="Arial" w:eastAsia="Times New Roman" w:hAnsi="Arial" w:cs="Arial"/>
            <w:lang w:eastAsia="en-GB"/>
          </w:rPr>
          <w:t>https://www.mauricewilkinscentre.</w:t>
        </w:r>
        <w:r w:rsidRPr="003E1012">
          <w:rPr>
            <w:rStyle w:val="Hyperlink"/>
            <w:rFonts w:ascii="Arial" w:eastAsia="Times New Roman" w:hAnsi="Arial" w:cs="Arial"/>
            <w:lang w:eastAsia="en-GB"/>
          </w:rPr>
          <w:t>o</w:t>
        </w:r>
        <w:r w:rsidRPr="003E1012">
          <w:rPr>
            <w:rStyle w:val="Hyperlink"/>
            <w:rFonts w:ascii="Arial" w:eastAsia="Times New Roman" w:hAnsi="Arial" w:cs="Arial"/>
            <w:lang w:eastAsia="en-GB"/>
          </w:rPr>
          <w:t>rg/s</w:t>
        </w:r>
        <w:r w:rsidRPr="003E1012">
          <w:rPr>
            <w:rStyle w:val="Hyperlink"/>
            <w:rFonts w:ascii="Arial" w:eastAsia="Times New Roman" w:hAnsi="Arial" w:cs="Arial"/>
            <w:lang w:eastAsia="en-GB"/>
          </w:rPr>
          <w:t>u</w:t>
        </w:r>
        <w:r w:rsidRPr="003E1012">
          <w:rPr>
            <w:rStyle w:val="Hyperlink"/>
            <w:rFonts w:ascii="Arial" w:eastAsia="Times New Roman" w:hAnsi="Arial" w:cs="Arial"/>
            <w:lang w:eastAsia="en-GB"/>
          </w:rPr>
          <w:t>b-pages/pacific-health/mwc-pacific-strategy/</w:t>
        </w:r>
      </w:hyperlink>
      <w:r>
        <w:rPr>
          <w:rFonts w:ascii="Arial" w:eastAsia="Times New Roman" w:hAnsi="Arial" w:cs="Arial"/>
          <w:color w:val="000000"/>
          <w:lang w:eastAsia="en-GB"/>
        </w:rPr>
        <w:t xml:space="preserve"> </w:t>
      </w:r>
    </w:p>
    <w:p w14:paraId="2EC0C93A" w14:textId="77777777" w:rsidR="002331C1" w:rsidRPr="002E57FD" w:rsidRDefault="002331C1" w:rsidP="002331C1">
      <w:pPr>
        <w:rPr>
          <w:rFonts w:ascii="Arial" w:eastAsia="Times New Roman" w:hAnsi="Arial" w:cs="Arial"/>
          <w:color w:val="000000"/>
          <w:lang w:eastAsia="en-GB"/>
        </w:rPr>
      </w:pPr>
    </w:p>
    <w:p w14:paraId="34F47B4E" w14:textId="6C9D05F0"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color w:val="000000"/>
          <w:lang w:eastAsia="en-GB"/>
        </w:rPr>
        <w:t xml:space="preserve">In this funding round, we ask you to indicate how you think your research plan (1) fits the </w:t>
      </w:r>
      <w:proofErr w:type="spellStart"/>
      <w:r w:rsidRPr="002E57FD">
        <w:rPr>
          <w:rFonts w:ascii="Arial" w:eastAsia="Times New Roman" w:hAnsi="Arial" w:cs="Arial"/>
          <w:color w:val="000000"/>
          <w:lang w:eastAsia="en-GB"/>
        </w:rPr>
        <w:t>categorisation</w:t>
      </w:r>
      <w:proofErr w:type="spellEnd"/>
      <w:r w:rsidRPr="002E57FD">
        <w:rPr>
          <w:rFonts w:ascii="Arial" w:eastAsia="Times New Roman" w:hAnsi="Arial" w:cs="Arial"/>
          <w:color w:val="000000"/>
          <w:lang w:eastAsia="en-GB"/>
        </w:rPr>
        <w:t xml:space="preserve"> of research according to the definitions provided in the MWC Māori Engagement Strategy, and (2) how it aligns with the goals outlined in the MWC’s Māori Engagement Strategy. You will also be asked how your proposal contributes to the goals of the MWC Pacific Strategy. You can describe any additional ways you are conducting your research that contribute to the advancement of Māori and Pacific Peoples. </w:t>
      </w:r>
    </w:p>
    <w:p w14:paraId="222B32E2" w14:textId="77777777" w:rsidR="002331C1" w:rsidRPr="002E57FD" w:rsidRDefault="002331C1" w:rsidP="002331C1">
      <w:pPr>
        <w:rPr>
          <w:rFonts w:ascii="Arial" w:eastAsia="Times New Roman" w:hAnsi="Arial" w:cs="Arial"/>
          <w:b/>
          <w:bCs/>
          <w:color w:val="000000"/>
          <w:lang w:eastAsia="en-GB"/>
        </w:rPr>
      </w:pPr>
    </w:p>
    <w:p w14:paraId="6E4BCFE1" w14:textId="77777777"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b/>
          <w:bCs/>
          <w:color w:val="000000"/>
          <w:lang w:eastAsia="en-GB"/>
        </w:rPr>
        <w:t xml:space="preserve">It is important that you make a genuine attempt to answer these sections. </w:t>
      </w:r>
      <w:r w:rsidRPr="002E57FD">
        <w:rPr>
          <w:rFonts w:ascii="Arial" w:eastAsia="Times New Roman" w:hAnsi="Arial" w:cs="Arial"/>
          <w:color w:val="000000"/>
          <w:lang w:eastAsia="en-GB"/>
        </w:rPr>
        <w:t xml:space="preserve"> </w:t>
      </w:r>
    </w:p>
    <w:p w14:paraId="6D72EB63" w14:textId="77777777" w:rsidR="002331C1" w:rsidRPr="002E57FD" w:rsidRDefault="002331C1" w:rsidP="002331C1">
      <w:pPr>
        <w:rPr>
          <w:rFonts w:ascii="Arial" w:eastAsia="Times New Roman" w:hAnsi="Arial" w:cs="Arial"/>
          <w:color w:val="000000"/>
          <w:lang w:eastAsia="en-GB"/>
        </w:rPr>
      </w:pPr>
      <w:r w:rsidRPr="002E57FD">
        <w:rPr>
          <w:rFonts w:ascii="Arial" w:eastAsia="Times New Roman" w:hAnsi="Arial" w:cs="Arial"/>
          <w:color w:val="000000"/>
          <w:lang w:eastAsia="en-GB"/>
        </w:rPr>
        <w:t xml:space="preserve">We understand that research at the MWC encompasses a wide range, from basic science to clinical research, and responses in this area can take many forms depending on the type of work you are involved in.  </w:t>
      </w:r>
    </w:p>
    <w:p w14:paraId="3FA7BAA1" w14:textId="77777777" w:rsidR="002331C1" w:rsidRPr="002E57FD" w:rsidRDefault="002331C1" w:rsidP="002331C1">
      <w:pPr>
        <w:rPr>
          <w:rFonts w:ascii="Arial" w:eastAsia="Times New Roman" w:hAnsi="Arial" w:cs="Arial"/>
          <w:color w:val="000000"/>
          <w:lang w:eastAsia="en-GB"/>
        </w:rPr>
      </w:pPr>
    </w:p>
    <w:p w14:paraId="20AF9505" w14:textId="77777777" w:rsidR="002331C1" w:rsidRPr="002E57FD" w:rsidRDefault="002331C1" w:rsidP="002331C1">
      <w:pPr>
        <w:rPr>
          <w:rFonts w:ascii="Arial" w:eastAsia="Times New Roman" w:hAnsi="Arial" w:cs="Arial"/>
          <w:color w:val="000000"/>
          <w:lang w:val="en-NZ" w:eastAsia="en-GB"/>
        </w:rPr>
      </w:pPr>
      <w:r w:rsidRPr="002E57FD">
        <w:rPr>
          <w:rFonts w:ascii="Arial" w:eastAsia="Times New Roman" w:hAnsi="Arial" w:cs="Arial"/>
          <w:color w:val="000000"/>
          <w:lang w:val="en-NZ" w:eastAsia="en-GB"/>
        </w:rPr>
        <w:t xml:space="preserve">Responses to these sections will be reviewed by the Project Review Committee members, including the MWC </w:t>
      </w:r>
      <w:proofErr w:type="spellStart"/>
      <w:r w:rsidRPr="002E57FD">
        <w:rPr>
          <w:rFonts w:ascii="Arial" w:eastAsia="Times New Roman" w:hAnsi="Arial" w:cs="Arial"/>
          <w:color w:val="000000"/>
          <w:lang w:val="en-NZ" w:eastAsia="en-GB"/>
        </w:rPr>
        <w:t>Kaiārahi</w:t>
      </w:r>
      <w:proofErr w:type="spellEnd"/>
      <w:r w:rsidRPr="002E57FD">
        <w:rPr>
          <w:rFonts w:ascii="Arial" w:eastAsia="Times New Roman" w:hAnsi="Arial" w:cs="Arial"/>
          <w:color w:val="000000"/>
          <w:lang w:val="en-NZ" w:eastAsia="en-GB"/>
        </w:rPr>
        <w:t xml:space="preserve"> and the Pacific Research and Engagement Coordinator (or their delegates), and considered as part of the assessment of the strategic value of the research. </w:t>
      </w:r>
    </w:p>
    <w:p w14:paraId="0AF4B530" w14:textId="77777777" w:rsidR="002331C1" w:rsidRPr="002E57FD" w:rsidRDefault="002331C1" w:rsidP="002331C1">
      <w:pPr>
        <w:rPr>
          <w:rFonts w:ascii="Arial" w:eastAsia="Times New Roman" w:hAnsi="Arial" w:cs="Arial"/>
          <w:color w:val="000000"/>
          <w:lang w:val="en-NZ" w:eastAsia="en-GB"/>
        </w:rPr>
      </w:pPr>
    </w:p>
    <w:p w14:paraId="68D7BA24" w14:textId="77777777" w:rsidR="002331C1" w:rsidRDefault="002331C1" w:rsidP="002331C1">
      <w:pPr>
        <w:rPr>
          <w:rFonts w:ascii="Arial" w:eastAsia="Times New Roman" w:hAnsi="Arial" w:cs="Arial"/>
          <w:color w:val="000000"/>
          <w:lang w:val="en-NZ" w:eastAsia="en-GB"/>
        </w:rPr>
      </w:pPr>
      <w:r w:rsidRPr="002E57FD">
        <w:rPr>
          <w:rFonts w:ascii="Arial" w:eastAsia="Times New Roman" w:hAnsi="Arial" w:cs="Arial"/>
          <w:color w:val="000000"/>
          <w:lang w:val="en-NZ" w:eastAsia="en-GB"/>
        </w:rPr>
        <w:t>The responses will also be recorded as either appropriate or ‘needs revision’ with resp</w:t>
      </w:r>
      <w:r w:rsidRPr="00175A37">
        <w:rPr>
          <w:rFonts w:ascii="Arial" w:eastAsia="Times New Roman" w:hAnsi="Arial" w:cs="Arial"/>
          <w:color w:val="000000"/>
          <w:lang w:val="en-NZ" w:eastAsia="en-GB"/>
        </w:rPr>
        <w:t xml:space="preserve">ect to the proposed project. Proposed projects will </w:t>
      </w:r>
      <w:r>
        <w:rPr>
          <w:rFonts w:ascii="Arial" w:eastAsia="Times New Roman" w:hAnsi="Arial" w:cs="Arial"/>
          <w:color w:val="000000"/>
          <w:lang w:val="en-NZ" w:eastAsia="en-GB"/>
        </w:rPr>
        <w:t>require</w:t>
      </w:r>
      <w:r w:rsidRPr="00175A37">
        <w:rPr>
          <w:rFonts w:ascii="Arial" w:eastAsia="Times New Roman" w:hAnsi="Arial" w:cs="Arial"/>
          <w:color w:val="000000"/>
          <w:lang w:val="en-NZ" w:eastAsia="en-GB"/>
        </w:rPr>
        <w:t xml:space="preserve"> an appropriate response before being given final approval for funding.  If a proposed project is selected for funding but is judged to have a response to this section that needs revision, it will be treated as provisional until the response is revised and judged to be appropriate.</w:t>
      </w:r>
      <w:r>
        <w:rPr>
          <w:rFonts w:ascii="Arial" w:eastAsia="Times New Roman" w:hAnsi="Arial" w:cs="Arial"/>
          <w:color w:val="000000"/>
          <w:lang w:val="en-NZ" w:eastAsia="en-GB"/>
        </w:rPr>
        <w:t xml:space="preserve"> </w:t>
      </w:r>
      <w:r w:rsidRPr="00175A37">
        <w:rPr>
          <w:rFonts w:ascii="Arial" w:eastAsia="Times New Roman" w:hAnsi="Arial" w:cs="Arial"/>
          <w:color w:val="000000"/>
          <w:lang w:val="en-NZ" w:eastAsia="en-GB"/>
        </w:rPr>
        <w:t xml:space="preserve"> The MWC Research Operations Manager will inform lead investigators </w:t>
      </w:r>
      <w:r>
        <w:rPr>
          <w:rFonts w:ascii="Arial" w:eastAsia="Times New Roman" w:hAnsi="Arial" w:cs="Arial"/>
          <w:color w:val="000000"/>
          <w:lang w:val="en-NZ" w:eastAsia="en-GB"/>
        </w:rPr>
        <w:t>about how</w:t>
      </w:r>
      <w:r w:rsidRPr="00175A37">
        <w:rPr>
          <w:rFonts w:ascii="Arial" w:eastAsia="Times New Roman" w:hAnsi="Arial" w:cs="Arial"/>
          <w:color w:val="000000"/>
          <w:lang w:val="en-NZ" w:eastAsia="en-GB"/>
        </w:rPr>
        <w:t xml:space="preserve"> guidance </w:t>
      </w:r>
      <w:r>
        <w:rPr>
          <w:rFonts w:ascii="Arial" w:eastAsia="Times New Roman" w:hAnsi="Arial" w:cs="Arial"/>
          <w:color w:val="000000"/>
          <w:lang w:val="en-NZ" w:eastAsia="en-GB"/>
        </w:rPr>
        <w:t xml:space="preserve">will be provided </w:t>
      </w:r>
      <w:r w:rsidRPr="00175A37">
        <w:rPr>
          <w:rFonts w:ascii="Arial" w:eastAsia="Times New Roman" w:hAnsi="Arial" w:cs="Arial"/>
          <w:color w:val="000000"/>
          <w:lang w:val="en-NZ" w:eastAsia="en-GB"/>
        </w:rPr>
        <w:t>to help them revise their response.</w:t>
      </w:r>
    </w:p>
    <w:p w14:paraId="370CF0C3" w14:textId="77777777" w:rsidR="002331C1" w:rsidRDefault="002331C1" w:rsidP="002331C1">
      <w:pPr>
        <w:rPr>
          <w:rFonts w:ascii="Arial" w:eastAsia="Times New Roman" w:hAnsi="Arial" w:cs="Arial"/>
          <w:color w:val="000000"/>
          <w:lang w:val="en-NZ" w:eastAsia="en-GB"/>
        </w:rPr>
      </w:pPr>
    </w:p>
    <w:p w14:paraId="067D4215" w14:textId="77777777" w:rsidR="002331C1" w:rsidRPr="00175A37" w:rsidRDefault="002331C1" w:rsidP="002331C1">
      <w:pPr>
        <w:rPr>
          <w:rFonts w:ascii="Arial" w:eastAsia="Times New Roman" w:hAnsi="Arial" w:cs="Arial"/>
          <w:color w:val="000000"/>
          <w:lang w:eastAsia="en-GB"/>
        </w:rPr>
      </w:pPr>
      <w:r w:rsidRPr="00175A37">
        <w:rPr>
          <w:rFonts w:ascii="Arial" w:eastAsia="Times New Roman" w:hAnsi="Arial" w:cs="Arial"/>
          <w:color w:val="000000"/>
          <w:lang w:eastAsia="en-GB"/>
        </w:rPr>
        <w:t xml:space="preserve">The information provided in these sections will </w:t>
      </w:r>
      <w:r>
        <w:rPr>
          <w:rFonts w:ascii="Arial" w:eastAsia="Times New Roman" w:hAnsi="Arial" w:cs="Arial"/>
          <w:color w:val="000000"/>
          <w:lang w:eastAsia="en-GB"/>
        </w:rPr>
        <w:t>enable the Centre to continue understanding how its portfolio of projects addresses issues such as Māori and Pacific health inequities, engagement with Māori and Pacific communities, and career development opportunities for Māori and Pacific researchers in our</w:t>
      </w:r>
      <w:r w:rsidRPr="00175A37">
        <w:rPr>
          <w:rFonts w:ascii="Arial" w:eastAsia="Times New Roman" w:hAnsi="Arial" w:cs="Arial"/>
          <w:color w:val="000000"/>
          <w:lang w:eastAsia="en-GB"/>
        </w:rPr>
        <w:t xml:space="preserve"> work. </w:t>
      </w:r>
    </w:p>
    <w:p w14:paraId="0E5CDFEC" w14:textId="77777777" w:rsidR="002331C1" w:rsidRPr="00267346" w:rsidRDefault="002331C1" w:rsidP="002331C1">
      <w:pPr>
        <w:rPr>
          <w:rFonts w:ascii="Arial" w:eastAsia="Times New Roman" w:hAnsi="Arial" w:cs="Arial"/>
          <w:b/>
          <w:bCs/>
          <w:lang w:val="en-NZ" w:eastAsia="en-GB"/>
        </w:rPr>
      </w:pPr>
    </w:p>
    <w:p w14:paraId="1C070E5E" w14:textId="77777777" w:rsidR="002331C1" w:rsidRPr="006137C4" w:rsidRDefault="002331C1" w:rsidP="002331C1">
      <w:pPr>
        <w:rPr>
          <w:rFonts w:ascii="Arial" w:eastAsia="Times New Roman" w:hAnsi="Arial" w:cs="Arial"/>
          <w:b/>
          <w:bCs/>
          <w:color w:val="000000"/>
          <w:lang w:eastAsia="en-GB"/>
        </w:rPr>
      </w:pPr>
    </w:p>
    <w:p w14:paraId="55BEF760" w14:textId="77777777" w:rsidR="002331C1" w:rsidRDefault="002331C1" w:rsidP="002331C1">
      <w:pPr>
        <w:rPr>
          <w:rFonts w:ascii="Arial" w:hAnsi="Arial" w:cs="Arial"/>
          <w:b/>
          <w:bCs/>
          <w:color w:val="000000"/>
          <w:lang w:val="en-GB"/>
        </w:rPr>
      </w:pPr>
    </w:p>
    <w:p w14:paraId="1A2505CE" w14:textId="77777777" w:rsidR="002331C1" w:rsidRDefault="002331C1" w:rsidP="002331C1">
      <w:pPr>
        <w:rPr>
          <w:rFonts w:ascii="Arial" w:hAnsi="Arial" w:cs="Arial"/>
          <w:b/>
          <w:bCs/>
          <w:color w:val="000000"/>
          <w:lang w:val="en-GB"/>
        </w:rPr>
      </w:pPr>
      <w:r>
        <w:rPr>
          <w:rFonts w:ascii="Arial" w:hAnsi="Arial" w:cs="Arial"/>
          <w:b/>
          <w:bCs/>
          <w:color w:val="000000"/>
          <w:lang w:val="en-GB"/>
        </w:rPr>
        <w:br w:type="page"/>
      </w:r>
    </w:p>
    <w:p w14:paraId="195C60D7" w14:textId="77777777" w:rsidR="002331C1" w:rsidRPr="00C97589" w:rsidRDefault="002331C1" w:rsidP="002331C1">
      <w:pPr>
        <w:rPr>
          <w:rFonts w:ascii="Arial" w:hAnsi="Arial" w:cs="Arial"/>
          <w:b/>
          <w:bCs/>
          <w:color w:val="000000"/>
          <w:lang w:val="en-GB"/>
        </w:rPr>
      </w:pPr>
      <w:r w:rsidRPr="00C97589">
        <w:rPr>
          <w:rFonts w:ascii="Arial" w:hAnsi="Arial" w:cs="Arial"/>
          <w:b/>
          <w:bCs/>
          <w:color w:val="000000"/>
          <w:lang w:val="en-GB"/>
        </w:rPr>
        <w:lastRenderedPageBreak/>
        <w:t xml:space="preserve">MWC’s Commitment to Māori Data Sovereignty </w:t>
      </w:r>
    </w:p>
    <w:p w14:paraId="07FBEA01" w14:textId="77777777" w:rsidR="002331C1" w:rsidRDefault="002331C1" w:rsidP="002331C1">
      <w:pPr>
        <w:pStyle w:val="ListMWC"/>
        <w:numPr>
          <w:ilvl w:val="0"/>
          <w:numId w:val="0"/>
        </w:numPr>
        <w:rPr>
          <w:bCs/>
          <w:lang w:val="en-NZ"/>
        </w:rPr>
      </w:pPr>
    </w:p>
    <w:p w14:paraId="664CF04B" w14:textId="77777777" w:rsidR="002331C1" w:rsidRPr="00C97589" w:rsidRDefault="002331C1" w:rsidP="002331C1">
      <w:pPr>
        <w:pStyle w:val="ListMWC"/>
        <w:numPr>
          <w:ilvl w:val="0"/>
          <w:numId w:val="0"/>
        </w:numPr>
        <w:rPr>
          <w:bCs/>
          <w:lang w:val="en-NZ"/>
        </w:rPr>
      </w:pPr>
      <w:r w:rsidRPr="00C97589">
        <w:rPr>
          <w:bCs/>
          <w:lang w:val="en-NZ"/>
        </w:rPr>
        <w:t>Central to MWC’s mission is a commitment to improving long-term health outcomes, particularly for Māori, while building capability and awareness of the cultural, economic, and community dimensions of biomedical research.</w:t>
      </w:r>
    </w:p>
    <w:p w14:paraId="30AB5579" w14:textId="77777777" w:rsidR="002331C1" w:rsidRPr="00C97589" w:rsidRDefault="002331C1" w:rsidP="002331C1">
      <w:pPr>
        <w:pStyle w:val="ListMWC"/>
        <w:numPr>
          <w:ilvl w:val="0"/>
          <w:numId w:val="0"/>
        </w:numPr>
        <w:ind w:left="283" w:hanging="283"/>
        <w:rPr>
          <w:bCs/>
          <w:lang w:val="en-NZ"/>
        </w:rPr>
      </w:pPr>
    </w:p>
    <w:p w14:paraId="37FACFD6" w14:textId="77777777" w:rsidR="002331C1" w:rsidRPr="00C97589" w:rsidRDefault="002331C1" w:rsidP="002331C1">
      <w:pPr>
        <w:pStyle w:val="ListMWC"/>
        <w:numPr>
          <w:ilvl w:val="0"/>
          <w:numId w:val="0"/>
        </w:numPr>
        <w:rPr>
          <w:bCs/>
          <w:lang w:val="en-NZ"/>
        </w:rPr>
      </w:pPr>
      <w:r w:rsidRPr="00C97589">
        <w:rPr>
          <w:bCs/>
          <w:lang w:val="en-NZ"/>
        </w:rPr>
        <w:t xml:space="preserve">As part of this commitment, the MWC upholds </w:t>
      </w:r>
      <w:proofErr w:type="spellStart"/>
      <w:r w:rsidRPr="00C97589">
        <w:rPr>
          <w:bCs/>
          <w:lang w:val="en-NZ"/>
        </w:rPr>
        <w:t>Te</w:t>
      </w:r>
      <w:proofErr w:type="spellEnd"/>
      <w:r w:rsidRPr="00C97589">
        <w:rPr>
          <w:bCs/>
          <w:lang w:val="en-NZ"/>
        </w:rPr>
        <w:t xml:space="preserve"> </w:t>
      </w:r>
      <w:proofErr w:type="spellStart"/>
      <w:r w:rsidRPr="00C97589">
        <w:rPr>
          <w:bCs/>
          <w:lang w:val="en-NZ"/>
        </w:rPr>
        <w:t>Tiriti</w:t>
      </w:r>
      <w:proofErr w:type="spellEnd"/>
      <w:r w:rsidRPr="00C97589">
        <w:rPr>
          <w:bCs/>
          <w:lang w:val="en-NZ"/>
        </w:rPr>
        <w:t xml:space="preserve"> o Waitangi by releasing a public Māori Data Sovereignty commitment statement. This statement recognises that much of MWC’s research involves the use of Māori data and therefore outlines its responsibility to uphold Māori rights to control and govern their own data. It draws on principles from </w:t>
      </w:r>
      <w:proofErr w:type="spellStart"/>
      <w:r w:rsidRPr="00C97589">
        <w:rPr>
          <w:bCs/>
          <w:lang w:val="en-NZ"/>
        </w:rPr>
        <w:t>Te</w:t>
      </w:r>
      <w:proofErr w:type="spellEnd"/>
      <w:r w:rsidRPr="00C97589">
        <w:rPr>
          <w:bCs/>
          <w:lang w:val="en-NZ"/>
        </w:rPr>
        <w:t xml:space="preserve"> Mana </w:t>
      </w:r>
      <w:proofErr w:type="spellStart"/>
      <w:r w:rsidRPr="00C97589">
        <w:rPr>
          <w:bCs/>
          <w:lang w:val="en-NZ"/>
        </w:rPr>
        <w:t>Raraunga</w:t>
      </w:r>
      <w:proofErr w:type="spellEnd"/>
      <w:r w:rsidRPr="00C97589">
        <w:rPr>
          <w:bCs/>
          <w:lang w:val="en-NZ"/>
        </w:rPr>
        <w:t>, providing a framework for culturally and ethically appropriate data practices that reflect self-determination.</w:t>
      </w:r>
    </w:p>
    <w:p w14:paraId="2C040628" w14:textId="77777777" w:rsidR="002331C1" w:rsidRPr="00C97589" w:rsidRDefault="002331C1" w:rsidP="002331C1">
      <w:pPr>
        <w:pStyle w:val="ListMWC"/>
        <w:numPr>
          <w:ilvl w:val="0"/>
          <w:numId w:val="0"/>
        </w:numPr>
        <w:ind w:left="283" w:hanging="283"/>
        <w:rPr>
          <w:bCs/>
          <w:lang w:val="en-NZ"/>
        </w:rPr>
      </w:pPr>
    </w:p>
    <w:p w14:paraId="316CF5F6" w14:textId="77777777" w:rsidR="002331C1" w:rsidRDefault="002331C1" w:rsidP="002331C1">
      <w:pPr>
        <w:pStyle w:val="ListMWC"/>
        <w:numPr>
          <w:ilvl w:val="0"/>
          <w:numId w:val="0"/>
        </w:numPr>
        <w:rPr>
          <w:bCs/>
          <w:lang w:val="en-NZ"/>
        </w:rPr>
      </w:pPr>
      <w:r w:rsidRPr="00C97589">
        <w:rPr>
          <w:bCs/>
          <w:lang w:val="en-NZ"/>
        </w:rPr>
        <w:t>The statement serves as both a declaration and a guide for the MWC, its staff, and stakeholders—ensuring accountability, alignment with Māori values, and an evolving policy foundation that protects Māori interests in research.</w:t>
      </w:r>
    </w:p>
    <w:p w14:paraId="3C24B882" w14:textId="77777777" w:rsidR="002331C1" w:rsidRDefault="002331C1" w:rsidP="002331C1">
      <w:pPr>
        <w:pStyle w:val="ListMWC"/>
        <w:numPr>
          <w:ilvl w:val="0"/>
          <w:numId w:val="0"/>
        </w:numPr>
        <w:rPr>
          <w:bCs/>
          <w:lang w:val="en-NZ"/>
        </w:rPr>
      </w:pPr>
    </w:p>
    <w:p w14:paraId="67C71A68" w14:textId="77777777" w:rsidR="002331C1" w:rsidRPr="00C97589" w:rsidRDefault="002331C1" w:rsidP="002331C1">
      <w:pPr>
        <w:pStyle w:val="ListMWC"/>
        <w:numPr>
          <w:ilvl w:val="0"/>
          <w:numId w:val="0"/>
        </w:numPr>
        <w:rPr>
          <w:bCs/>
          <w:lang w:val="en-NZ"/>
        </w:rPr>
      </w:pPr>
      <w:r>
        <w:rPr>
          <w:bCs/>
          <w:lang w:val="en-NZ"/>
        </w:rPr>
        <w:t xml:space="preserve">The full </w:t>
      </w:r>
      <w:r w:rsidRPr="00C97589">
        <w:rPr>
          <w:bCs/>
          <w:lang w:val="en-NZ"/>
        </w:rPr>
        <w:t>Māori Data Sovereignty commitment statement</w:t>
      </w:r>
      <w:r>
        <w:rPr>
          <w:bCs/>
          <w:lang w:val="en-NZ"/>
        </w:rPr>
        <w:t xml:space="preserve"> can be found </w:t>
      </w:r>
      <w:r w:rsidRPr="00C97589">
        <w:rPr>
          <w:bCs/>
          <w:lang w:val="en-NZ"/>
        </w:rPr>
        <w:t>in the member’s pages of the MWC website,</w:t>
      </w:r>
      <w:r>
        <w:rPr>
          <w:bCs/>
          <w:lang w:val="en-NZ"/>
        </w:rPr>
        <w:t xml:space="preserve"> </w:t>
      </w:r>
      <w:hyperlink r:id="rId13" w:history="1">
        <w:r w:rsidRPr="00932EA6">
          <w:rPr>
            <w:rStyle w:val="Hyperlink"/>
            <w:bCs/>
            <w:lang w:val="en-NZ"/>
          </w:rPr>
          <w:t>https://www.mauricewilkinscentre.org/welcome/mw</w:t>
        </w:r>
        <w:r w:rsidRPr="00932EA6">
          <w:rPr>
            <w:rStyle w:val="Hyperlink"/>
            <w:bCs/>
            <w:lang w:val="en-NZ"/>
          </w:rPr>
          <w:t>c</w:t>
        </w:r>
        <w:r w:rsidRPr="00932EA6">
          <w:rPr>
            <w:rStyle w:val="Hyperlink"/>
            <w:bCs/>
            <w:lang w:val="en-NZ"/>
          </w:rPr>
          <w:t>-m%C4%81ori-data-sovereignty-commitment-statement/</w:t>
        </w:r>
      </w:hyperlink>
      <w:r>
        <w:rPr>
          <w:bCs/>
          <w:lang w:val="en-NZ"/>
        </w:rPr>
        <w:t xml:space="preserve"> </w:t>
      </w:r>
    </w:p>
    <w:p w14:paraId="5C4CF70C" w14:textId="77777777" w:rsidR="002331C1" w:rsidRPr="006137C4" w:rsidRDefault="002331C1" w:rsidP="002331C1">
      <w:pPr>
        <w:rPr>
          <w:b/>
        </w:rPr>
      </w:pPr>
    </w:p>
    <w:p w14:paraId="0FAE7D73" w14:textId="77777777" w:rsidR="002331C1" w:rsidRDefault="002331C1" w:rsidP="002331C1">
      <w:pPr>
        <w:pStyle w:val="BodyText"/>
        <w:spacing w:before="97"/>
        <w:ind w:right="561"/>
        <w:jc w:val="both"/>
        <w:rPr>
          <w:rFonts w:ascii="Arial" w:hAnsi="Arial" w:cs="Arial"/>
        </w:rPr>
      </w:pPr>
    </w:p>
    <w:p w14:paraId="340F6272" w14:textId="77777777" w:rsidR="002331C1" w:rsidRDefault="002331C1" w:rsidP="002331C1">
      <w:pPr>
        <w:pStyle w:val="BodyText"/>
        <w:spacing w:before="97"/>
        <w:ind w:right="561"/>
        <w:jc w:val="both"/>
        <w:rPr>
          <w:rFonts w:ascii="Arial" w:hAnsi="Arial" w:cs="Arial"/>
        </w:rPr>
      </w:pPr>
    </w:p>
    <w:p w14:paraId="4D4075B2" w14:textId="77777777" w:rsidR="002331C1" w:rsidRDefault="002331C1" w:rsidP="002331C1">
      <w:pPr>
        <w:rPr>
          <w:rFonts w:ascii="Arial" w:hAnsi="Arial" w:cs="Arial"/>
          <w:b/>
          <w:bCs/>
          <w:sz w:val="28"/>
          <w:szCs w:val="28"/>
        </w:rPr>
      </w:pPr>
      <w:r>
        <w:rPr>
          <w:rFonts w:ascii="Arial" w:hAnsi="Arial" w:cs="Arial"/>
          <w:b/>
          <w:bCs/>
          <w:sz w:val="28"/>
          <w:szCs w:val="28"/>
        </w:rPr>
        <w:br w:type="page"/>
      </w:r>
    </w:p>
    <w:p w14:paraId="1E925617" w14:textId="02EFC564" w:rsidR="00EA29C5" w:rsidRPr="0016019A" w:rsidRDefault="0039424C" w:rsidP="00EA29C5">
      <w:pPr>
        <w:rPr>
          <w:rFonts w:ascii="Arial" w:eastAsia="Times New Roman" w:hAnsi="Arial" w:cs="Arial"/>
          <w:b/>
          <w:bCs/>
          <w:color w:val="000000"/>
          <w:sz w:val="28"/>
          <w:szCs w:val="28"/>
          <w:lang w:eastAsia="en-GB"/>
        </w:rPr>
      </w:pPr>
      <w:r>
        <w:rPr>
          <w:rFonts w:ascii="Arial" w:hAnsi="Arial" w:cs="Arial"/>
          <w:b/>
          <w:bCs/>
          <w:sz w:val="28"/>
          <w:szCs w:val="28"/>
        </w:rPr>
        <w:lastRenderedPageBreak/>
        <w:t>Further g</w:t>
      </w:r>
      <w:r w:rsidR="00EA29C5" w:rsidRPr="0016019A">
        <w:rPr>
          <w:rFonts w:ascii="Arial" w:hAnsi="Arial" w:cs="Arial"/>
          <w:b/>
          <w:bCs/>
          <w:sz w:val="28"/>
          <w:szCs w:val="28"/>
        </w:rPr>
        <w:t xml:space="preserve">uidelines for </w:t>
      </w:r>
      <w:r w:rsidR="00EA29C5" w:rsidRPr="0016019A">
        <w:rPr>
          <w:rFonts w:ascii="Arial" w:hAnsi="Arial" w:cs="Arial"/>
          <w:b/>
          <w:bCs/>
          <w:color w:val="000000"/>
          <w:sz w:val="28"/>
          <w:szCs w:val="28"/>
          <w:lang w:val="en-GB"/>
        </w:rPr>
        <w:t>Māori and Pacific Health Advancement</w:t>
      </w:r>
    </w:p>
    <w:p w14:paraId="6EFD6793" w14:textId="77777777" w:rsidR="00EA29C5" w:rsidRDefault="00EA29C5" w:rsidP="00EA29C5">
      <w:pPr>
        <w:rPr>
          <w:rFonts w:ascii="Arial" w:hAnsi="Arial" w:cs="Arial"/>
        </w:rPr>
      </w:pPr>
    </w:p>
    <w:p w14:paraId="0A7B6D97" w14:textId="77777777" w:rsidR="00EA29C5" w:rsidRPr="00470629" w:rsidRDefault="00EA29C5" w:rsidP="00EA29C5">
      <w:pPr>
        <w:rPr>
          <w:rFonts w:ascii="Arial" w:hAnsi="Arial" w:cs="Arial"/>
        </w:rPr>
      </w:pPr>
      <w:r w:rsidRPr="00470629">
        <w:rPr>
          <w:rFonts w:ascii="Arial" w:hAnsi="Arial" w:cs="Arial"/>
        </w:rPr>
        <w:t>We understand that there are many types of science in the MWC and that some of the factors below might be relevant for your project:</w:t>
      </w:r>
    </w:p>
    <w:p w14:paraId="3C27DEA5" w14:textId="77777777" w:rsidR="00EA29C5" w:rsidRPr="00470629" w:rsidRDefault="00EA29C5" w:rsidP="00EA29C5">
      <w:pPr>
        <w:pStyle w:val="ListParagraph"/>
        <w:widowControl/>
        <w:numPr>
          <w:ilvl w:val="0"/>
          <w:numId w:val="7"/>
        </w:numPr>
        <w:autoSpaceDE/>
        <w:autoSpaceDN/>
        <w:spacing w:after="240"/>
        <w:contextualSpacing/>
        <w:jc w:val="both"/>
        <w:rPr>
          <w:rFonts w:ascii="Arial" w:eastAsia="Century Gothic" w:hAnsi="Arial" w:cs="Arial"/>
          <w:lang w:val="en-GB"/>
        </w:rPr>
      </w:pPr>
      <w:r w:rsidRPr="00470629">
        <w:rPr>
          <w:rFonts w:ascii="Arial" w:eastAsia="Century Gothic" w:hAnsi="Arial" w:cs="Arial"/>
          <w:lang w:val="en-GB"/>
        </w:rPr>
        <w:t xml:space="preserve">Does the research </w:t>
      </w:r>
      <w:r w:rsidRPr="00470629">
        <w:rPr>
          <w:rFonts w:ascii="Arial" w:eastAsia="Century Gothic" w:hAnsi="Arial" w:cs="Arial"/>
          <w:i/>
          <w:iCs/>
          <w:lang w:val="en-GB"/>
        </w:rPr>
        <w:t xml:space="preserve">involve </w:t>
      </w:r>
      <w:r w:rsidRPr="00470629">
        <w:rPr>
          <w:rFonts w:ascii="Arial" w:eastAsia="Century Gothic" w:hAnsi="Arial" w:cs="Arial"/>
          <w:lang w:val="en-GB"/>
        </w:rPr>
        <w:t>Māori?</w:t>
      </w:r>
      <w:r>
        <w:rPr>
          <w:rFonts w:ascii="Arial" w:eastAsia="Century Gothic" w:hAnsi="Arial" w:cs="Arial"/>
          <w:lang w:val="en-GB"/>
        </w:rPr>
        <w:t xml:space="preserve"> </w:t>
      </w:r>
      <w:r w:rsidRPr="00470629">
        <w:rPr>
          <w:rFonts w:ascii="Arial" w:eastAsia="Century Gothic" w:hAnsi="Arial" w:cs="Arial"/>
          <w:lang w:val="en-GB"/>
        </w:rPr>
        <w:t xml:space="preserve"> Involve could mean that Māori, whether individually or collectively, participate in the research’s design or undertaking; That the research utilises </w:t>
      </w:r>
      <w:proofErr w:type="spellStart"/>
      <w:r w:rsidRPr="00470629">
        <w:rPr>
          <w:rFonts w:ascii="Arial" w:eastAsia="Century Gothic" w:hAnsi="Arial" w:cs="Arial"/>
          <w:lang w:val="en-GB"/>
        </w:rPr>
        <w:t>mātauranga</w:t>
      </w:r>
      <w:proofErr w:type="spellEnd"/>
      <w:r w:rsidRPr="00470629">
        <w:rPr>
          <w:rFonts w:ascii="Arial" w:eastAsia="Century Gothic" w:hAnsi="Arial" w:cs="Arial"/>
          <w:lang w:val="en-GB"/>
        </w:rPr>
        <w:t xml:space="preserve"> Māori, usually in a minor way, in its design and undertaking; or </w:t>
      </w:r>
      <w:proofErr w:type="gramStart"/>
      <w:r w:rsidRPr="00470629">
        <w:rPr>
          <w:rFonts w:ascii="Arial" w:eastAsia="Century Gothic" w:hAnsi="Arial" w:cs="Arial"/>
          <w:lang w:val="en-GB"/>
        </w:rPr>
        <w:t>That</w:t>
      </w:r>
      <w:proofErr w:type="gramEnd"/>
      <w:r w:rsidRPr="00470629">
        <w:rPr>
          <w:rFonts w:ascii="Arial" w:eastAsia="Century Gothic" w:hAnsi="Arial" w:cs="Arial"/>
          <w:lang w:val="en-GB"/>
        </w:rPr>
        <w:t xml:space="preserve"> the research contributes to or is expected to contribute to Māori (iwi/hapū/whānau/etc) aspirations and outcomes.</w:t>
      </w:r>
    </w:p>
    <w:p w14:paraId="609540E6" w14:textId="77777777" w:rsidR="00EA29C5" w:rsidRPr="00470629" w:rsidRDefault="00EA29C5" w:rsidP="00EA29C5">
      <w:pPr>
        <w:pStyle w:val="ListParagraph"/>
        <w:widowControl/>
        <w:numPr>
          <w:ilvl w:val="0"/>
          <w:numId w:val="7"/>
        </w:numPr>
        <w:autoSpaceDE/>
        <w:autoSpaceDN/>
        <w:contextualSpacing/>
        <w:rPr>
          <w:rFonts w:ascii="Arial" w:hAnsi="Arial" w:cs="Arial"/>
        </w:rPr>
      </w:pPr>
      <w:r w:rsidRPr="00470629">
        <w:rPr>
          <w:rFonts w:ascii="Arial" w:hAnsi="Arial" w:cs="Arial"/>
        </w:rPr>
        <w:t>If you have a direct line of sight to a beneficial outcome, assuming your research is successful, how and where might it impact Māori?</w:t>
      </w:r>
      <w:r>
        <w:rPr>
          <w:rFonts w:ascii="Arial" w:hAnsi="Arial" w:cs="Arial"/>
        </w:rPr>
        <w:t xml:space="preserve"> </w:t>
      </w:r>
      <w:r w:rsidRPr="00470629">
        <w:rPr>
          <w:rFonts w:ascii="Arial" w:hAnsi="Arial" w:cs="Arial"/>
        </w:rPr>
        <w:t xml:space="preserve"> What might the long-term benefits be?</w:t>
      </w:r>
      <w:r>
        <w:rPr>
          <w:rFonts w:ascii="Arial" w:hAnsi="Arial" w:cs="Arial"/>
        </w:rPr>
        <w:t xml:space="preserve"> </w:t>
      </w:r>
      <w:r w:rsidRPr="00470629">
        <w:rPr>
          <w:rFonts w:ascii="Arial" w:hAnsi="Arial" w:cs="Arial"/>
        </w:rPr>
        <w:t xml:space="preserve"> Will or could Māori be impacted?</w:t>
      </w:r>
      <w:r>
        <w:rPr>
          <w:rFonts w:ascii="Arial" w:hAnsi="Arial" w:cs="Arial"/>
        </w:rPr>
        <w:t xml:space="preserve"> </w:t>
      </w:r>
      <w:r w:rsidRPr="00470629">
        <w:rPr>
          <w:rFonts w:ascii="Arial" w:hAnsi="Arial" w:cs="Arial"/>
        </w:rPr>
        <w:t xml:space="preserve"> What is the potential for benefits and what might be needed outside of your research to ensure such benefits?</w:t>
      </w:r>
      <w:r>
        <w:rPr>
          <w:rFonts w:ascii="Arial" w:hAnsi="Arial" w:cs="Arial"/>
        </w:rPr>
        <w:t xml:space="preserve"> </w:t>
      </w:r>
      <w:r w:rsidRPr="00470629">
        <w:rPr>
          <w:rFonts w:ascii="Arial" w:hAnsi="Arial" w:cs="Arial"/>
        </w:rPr>
        <w:t xml:space="preserve"> While this sits outside the scope of your research it provides Māori evaluators a broader </w:t>
      </w:r>
      <w:proofErr w:type="spellStart"/>
      <w:r w:rsidRPr="00470629">
        <w:rPr>
          <w:rFonts w:ascii="Arial" w:hAnsi="Arial" w:cs="Arial"/>
        </w:rPr>
        <w:t>contextuali</w:t>
      </w:r>
      <w:r>
        <w:rPr>
          <w:rFonts w:ascii="Arial" w:hAnsi="Arial" w:cs="Arial"/>
        </w:rPr>
        <w:t>s</w:t>
      </w:r>
      <w:r w:rsidRPr="00470629">
        <w:rPr>
          <w:rFonts w:ascii="Arial" w:hAnsi="Arial" w:cs="Arial"/>
        </w:rPr>
        <w:t>ation</w:t>
      </w:r>
      <w:proofErr w:type="spellEnd"/>
      <w:r w:rsidRPr="00470629">
        <w:rPr>
          <w:rFonts w:ascii="Arial" w:hAnsi="Arial" w:cs="Arial"/>
        </w:rPr>
        <w:t xml:space="preserve"> regarding how the research might increase benefits and risks to Māori communities.</w:t>
      </w:r>
    </w:p>
    <w:p w14:paraId="58E7930A" w14:textId="77777777" w:rsidR="00EA29C5" w:rsidRPr="00470629" w:rsidRDefault="00EA29C5" w:rsidP="00EA29C5">
      <w:pPr>
        <w:pStyle w:val="ListParagraph"/>
        <w:widowControl/>
        <w:numPr>
          <w:ilvl w:val="0"/>
          <w:numId w:val="7"/>
        </w:numPr>
        <w:autoSpaceDE/>
        <w:autoSpaceDN/>
        <w:contextualSpacing/>
        <w:rPr>
          <w:rFonts w:ascii="Arial" w:hAnsi="Arial" w:cs="Arial"/>
        </w:rPr>
      </w:pPr>
      <w:r w:rsidRPr="00470629">
        <w:rPr>
          <w:rFonts w:ascii="Arial" w:hAnsi="Arial" w:cs="Arial"/>
        </w:rPr>
        <w:t xml:space="preserve">If you do not have a direct line of sight to a beneficial outcome (for example, if you are conducting research that builds, rather than applies knowledge), how does this research add to body of knowledge that might </w:t>
      </w:r>
      <w:r w:rsidRPr="00470629">
        <w:rPr>
          <w:rFonts w:ascii="Arial" w:hAnsi="Arial" w:cs="Arial"/>
          <w:i/>
          <w:iCs/>
        </w:rPr>
        <w:t>then</w:t>
      </w:r>
      <w:r w:rsidRPr="00470629">
        <w:rPr>
          <w:rFonts w:ascii="Arial" w:hAnsi="Arial" w:cs="Arial"/>
        </w:rPr>
        <w:t xml:space="preserve"> lead to future applications?</w:t>
      </w:r>
      <w:r>
        <w:rPr>
          <w:rFonts w:ascii="Arial" w:hAnsi="Arial" w:cs="Arial"/>
        </w:rPr>
        <w:t xml:space="preserve"> </w:t>
      </w:r>
      <w:r w:rsidRPr="00470629">
        <w:rPr>
          <w:rFonts w:ascii="Arial" w:hAnsi="Arial" w:cs="Arial"/>
        </w:rPr>
        <w:t xml:space="preserve"> We understand that this is speculative but consider thinking broadly about why building this knowledge or understanding is important to humanity, including </w:t>
      </w:r>
      <w:proofErr w:type="spellStart"/>
      <w:r w:rsidRPr="00470629">
        <w:rPr>
          <w:rFonts w:ascii="Arial" w:hAnsi="Arial" w:cs="Arial"/>
        </w:rPr>
        <w:t>Te</w:t>
      </w:r>
      <w:proofErr w:type="spellEnd"/>
      <w:r w:rsidRPr="00470629">
        <w:rPr>
          <w:rFonts w:ascii="Arial" w:hAnsi="Arial" w:cs="Arial"/>
        </w:rPr>
        <w:t xml:space="preserve"> Ao Māori.</w:t>
      </w:r>
    </w:p>
    <w:p w14:paraId="4700DE85" w14:textId="77777777" w:rsidR="00EA29C5" w:rsidRPr="00470629" w:rsidRDefault="00EA29C5" w:rsidP="00EA29C5">
      <w:pPr>
        <w:pStyle w:val="ListParagraph"/>
        <w:widowControl/>
        <w:numPr>
          <w:ilvl w:val="0"/>
          <w:numId w:val="7"/>
        </w:numPr>
        <w:autoSpaceDE/>
        <w:autoSpaceDN/>
        <w:contextualSpacing/>
        <w:rPr>
          <w:rFonts w:ascii="Arial" w:hAnsi="Arial" w:cs="Arial"/>
        </w:rPr>
      </w:pPr>
      <w:r w:rsidRPr="00470629">
        <w:rPr>
          <w:rFonts w:ascii="Arial" w:hAnsi="Arial" w:cs="Arial"/>
        </w:rPr>
        <w:t>Whether or not there is a direct line of sight to outcomes, alternative relevance to Māori can be considered – for example how are Māori involved in the research?</w:t>
      </w:r>
      <w:r>
        <w:rPr>
          <w:rFonts w:ascii="Arial" w:hAnsi="Arial" w:cs="Arial"/>
        </w:rPr>
        <w:t xml:space="preserve"> </w:t>
      </w:r>
      <w:r w:rsidRPr="00470629">
        <w:rPr>
          <w:rFonts w:ascii="Arial" w:hAnsi="Arial" w:cs="Arial"/>
        </w:rPr>
        <w:t xml:space="preserve"> </w:t>
      </w:r>
      <w:r w:rsidRPr="00470629">
        <w:rPr>
          <w:rFonts w:ascii="Arial" w:hAnsi="Arial" w:cs="Arial"/>
          <w:color w:val="000000"/>
          <w:lang w:val="en-GB"/>
        </w:rPr>
        <w:t>How will the research empower Māori and Pacific people – including workforce and communities.</w:t>
      </w:r>
      <w:r>
        <w:rPr>
          <w:rFonts w:ascii="Arial" w:hAnsi="Arial" w:cs="Arial"/>
          <w:color w:val="000000"/>
          <w:lang w:val="en-GB"/>
        </w:rPr>
        <w:t xml:space="preserve"> </w:t>
      </w:r>
      <w:r w:rsidRPr="00470629">
        <w:rPr>
          <w:rFonts w:ascii="Arial" w:hAnsi="Arial" w:cs="Arial"/>
          <w:color w:val="000000"/>
          <w:lang w:val="en-GB"/>
        </w:rPr>
        <w:t xml:space="preserve"> Applicants should give some consideration to if/how opportunities will be generated.</w:t>
      </w:r>
    </w:p>
    <w:p w14:paraId="07655FC6" w14:textId="77777777" w:rsidR="00EA29C5" w:rsidRPr="00470629" w:rsidRDefault="00EA29C5" w:rsidP="00EA29C5">
      <w:pPr>
        <w:pStyle w:val="ListParagraph"/>
        <w:widowControl/>
        <w:numPr>
          <w:ilvl w:val="0"/>
          <w:numId w:val="7"/>
        </w:numPr>
        <w:autoSpaceDE/>
        <w:autoSpaceDN/>
        <w:contextualSpacing/>
        <w:rPr>
          <w:rFonts w:ascii="Arial" w:hAnsi="Arial" w:cs="Arial"/>
        </w:rPr>
      </w:pPr>
      <w:r w:rsidRPr="00470629">
        <w:rPr>
          <w:rFonts w:ascii="Arial" w:hAnsi="Arial" w:cs="Arial"/>
        </w:rPr>
        <w:t xml:space="preserve">If </w:t>
      </w:r>
      <w:proofErr w:type="gramStart"/>
      <w:r w:rsidRPr="00470629">
        <w:rPr>
          <w:rFonts w:ascii="Arial" w:hAnsi="Arial" w:cs="Arial"/>
        </w:rPr>
        <w:t>none at all</w:t>
      </w:r>
      <w:proofErr w:type="gramEnd"/>
      <w:r w:rsidRPr="00470629">
        <w:rPr>
          <w:rFonts w:ascii="Arial" w:hAnsi="Arial" w:cs="Arial"/>
        </w:rPr>
        <w:t xml:space="preserve"> (including no participation of Māori researchers…), then clearly state that up front.  Other questions may be relevant - </w:t>
      </w:r>
      <w:r w:rsidRPr="00470629">
        <w:rPr>
          <w:rFonts w:ascii="Arial" w:hAnsi="Arial" w:cs="Arial"/>
          <w:color w:val="000000"/>
          <w:lang w:val="en-GB"/>
        </w:rPr>
        <w:t>is there a need for members of the research team to be proficient in </w:t>
      </w:r>
      <w:proofErr w:type="spellStart"/>
      <w:r w:rsidRPr="00470629">
        <w:rPr>
          <w:rFonts w:ascii="Arial" w:hAnsi="Arial" w:cs="Arial"/>
          <w:color w:val="000000"/>
          <w:lang w:val="en-GB"/>
        </w:rPr>
        <w:t>te</w:t>
      </w:r>
      <w:proofErr w:type="spellEnd"/>
      <w:r w:rsidRPr="00470629">
        <w:rPr>
          <w:rFonts w:ascii="Arial" w:hAnsi="Arial" w:cs="Arial"/>
          <w:color w:val="000000"/>
          <w:lang w:val="en-GB"/>
        </w:rPr>
        <w:t> </w:t>
      </w:r>
      <w:proofErr w:type="spellStart"/>
      <w:r w:rsidRPr="00470629">
        <w:rPr>
          <w:rFonts w:ascii="Arial" w:hAnsi="Arial" w:cs="Arial"/>
          <w:color w:val="000000"/>
          <w:lang w:val="en-GB"/>
        </w:rPr>
        <w:t>reo</w:t>
      </w:r>
      <w:proofErr w:type="spellEnd"/>
      <w:r w:rsidRPr="00470629">
        <w:rPr>
          <w:rFonts w:ascii="Arial" w:hAnsi="Arial" w:cs="Arial"/>
          <w:color w:val="000000"/>
          <w:lang w:val="en-GB"/>
        </w:rPr>
        <w:t>?</w:t>
      </w:r>
      <w:r>
        <w:rPr>
          <w:rFonts w:ascii="Arial" w:hAnsi="Arial" w:cs="Arial"/>
          <w:color w:val="000000"/>
          <w:lang w:val="en-GB"/>
        </w:rPr>
        <w:t xml:space="preserve"> </w:t>
      </w:r>
      <w:r w:rsidRPr="00470629">
        <w:rPr>
          <w:rFonts w:ascii="Arial" w:hAnsi="Arial" w:cs="Arial"/>
          <w:color w:val="000000"/>
          <w:lang w:val="en-GB"/>
        </w:rPr>
        <w:t xml:space="preserve"> How has this aspect been addressed?</w:t>
      </w:r>
      <w:r>
        <w:rPr>
          <w:rFonts w:ascii="Arial" w:hAnsi="Arial" w:cs="Arial"/>
          <w:color w:val="000000"/>
          <w:lang w:val="en-GB"/>
        </w:rPr>
        <w:t xml:space="preserve"> </w:t>
      </w:r>
      <w:r w:rsidRPr="00470629">
        <w:rPr>
          <w:rFonts w:ascii="Arial" w:hAnsi="Arial" w:cs="Arial"/>
          <w:lang w:val="en-GB"/>
        </w:rPr>
        <w:t xml:space="preserve"> If a gap exists, the researcher may pursue some form of self</w:t>
      </w:r>
      <w:r>
        <w:rPr>
          <w:rFonts w:ascii="Arial" w:hAnsi="Arial" w:cs="Arial"/>
          <w:lang w:val="en-GB"/>
        </w:rPr>
        <w:t>-</w:t>
      </w:r>
      <w:r w:rsidRPr="00470629">
        <w:rPr>
          <w:rFonts w:ascii="Arial" w:hAnsi="Arial" w:cs="Arial"/>
          <w:lang w:val="en-GB"/>
        </w:rPr>
        <w:t xml:space="preserve">development in </w:t>
      </w:r>
      <w:proofErr w:type="spellStart"/>
      <w:r w:rsidRPr="00470629">
        <w:rPr>
          <w:rFonts w:ascii="Arial" w:hAnsi="Arial" w:cs="Arial"/>
          <w:lang w:val="en-GB"/>
        </w:rPr>
        <w:t>Te</w:t>
      </w:r>
      <w:proofErr w:type="spellEnd"/>
      <w:r w:rsidRPr="00470629">
        <w:rPr>
          <w:rFonts w:ascii="Arial" w:hAnsi="Arial" w:cs="Arial"/>
          <w:lang w:val="en-GB"/>
        </w:rPr>
        <w:t xml:space="preserve"> Ao </w:t>
      </w:r>
      <w:proofErr w:type="spellStart"/>
      <w:r w:rsidRPr="00470629">
        <w:rPr>
          <w:rFonts w:ascii="Arial" w:hAnsi="Arial" w:cs="Arial"/>
          <w:lang w:val="en-GB"/>
        </w:rPr>
        <w:t>Maori</w:t>
      </w:r>
      <w:proofErr w:type="spellEnd"/>
      <w:r w:rsidRPr="00470629">
        <w:rPr>
          <w:rFonts w:ascii="Arial" w:hAnsi="Arial" w:cs="Arial"/>
          <w:lang w:val="en-GB"/>
        </w:rPr>
        <w:t>.</w:t>
      </w:r>
      <w:r>
        <w:rPr>
          <w:rFonts w:ascii="Arial" w:hAnsi="Arial" w:cs="Arial"/>
          <w:lang w:val="en-GB"/>
        </w:rPr>
        <w:t xml:space="preserve"> </w:t>
      </w:r>
      <w:r w:rsidRPr="00470629">
        <w:rPr>
          <w:rFonts w:ascii="Arial" w:hAnsi="Arial" w:cs="Arial"/>
          <w:lang w:val="en-GB"/>
        </w:rPr>
        <w:t xml:space="preserve"> This could entail doing a </w:t>
      </w:r>
      <w:proofErr w:type="spellStart"/>
      <w:r w:rsidRPr="00470629">
        <w:rPr>
          <w:rFonts w:ascii="Arial" w:hAnsi="Arial" w:cs="Arial"/>
          <w:lang w:val="en-GB"/>
        </w:rPr>
        <w:t>Te</w:t>
      </w:r>
      <w:proofErr w:type="spellEnd"/>
      <w:r w:rsidRPr="00470629">
        <w:rPr>
          <w:rFonts w:ascii="Arial" w:hAnsi="Arial" w:cs="Arial"/>
          <w:lang w:val="en-GB"/>
        </w:rPr>
        <w:t xml:space="preserve"> Reo </w:t>
      </w:r>
      <w:proofErr w:type="spellStart"/>
      <w:r w:rsidRPr="00470629">
        <w:rPr>
          <w:rFonts w:ascii="Arial" w:hAnsi="Arial" w:cs="Arial"/>
          <w:lang w:val="en-GB"/>
        </w:rPr>
        <w:t>Maori</w:t>
      </w:r>
      <w:proofErr w:type="spellEnd"/>
      <w:r w:rsidRPr="00470629">
        <w:rPr>
          <w:rFonts w:ascii="Arial" w:hAnsi="Arial" w:cs="Arial"/>
          <w:lang w:val="en-GB"/>
        </w:rPr>
        <w:t xml:space="preserve"> foundation course, enrolling in a cultural training course.</w:t>
      </w:r>
      <w:r>
        <w:rPr>
          <w:rFonts w:ascii="Arial" w:hAnsi="Arial" w:cs="Arial"/>
          <w:lang w:val="en-GB"/>
        </w:rPr>
        <w:t xml:space="preserve"> </w:t>
      </w:r>
      <w:r w:rsidRPr="00470629">
        <w:rPr>
          <w:rFonts w:ascii="Arial" w:hAnsi="Arial" w:cs="Arial"/>
        </w:rPr>
        <w:t xml:space="preserve"> These projects will not be held up for lack of engagement, and the information will provide MWC Board and Directors with data regarding Māori engagement across the breadth of MWC4.0.</w:t>
      </w:r>
      <w:r>
        <w:rPr>
          <w:rFonts w:ascii="Arial" w:hAnsi="Arial" w:cs="Arial"/>
        </w:rPr>
        <w:t xml:space="preserve"> </w:t>
      </w:r>
      <w:r w:rsidRPr="00470629">
        <w:rPr>
          <w:rFonts w:ascii="Arial" w:hAnsi="Arial" w:cs="Arial"/>
        </w:rPr>
        <w:t xml:space="preserve"> It will also help you to consider how your work enables the career development and aspirations of others, including Māori and Pacific Peoples.</w:t>
      </w:r>
    </w:p>
    <w:p w14:paraId="5717DF08" w14:textId="77777777" w:rsidR="00EA29C5" w:rsidRPr="00470629" w:rsidRDefault="00EA29C5" w:rsidP="00EA29C5">
      <w:pPr>
        <w:pStyle w:val="ListParagraph"/>
        <w:widowControl/>
        <w:numPr>
          <w:ilvl w:val="0"/>
          <w:numId w:val="7"/>
        </w:numPr>
        <w:autoSpaceDE/>
        <w:autoSpaceDN/>
        <w:contextualSpacing/>
        <w:rPr>
          <w:rFonts w:ascii="Arial" w:hAnsi="Arial" w:cs="Arial"/>
        </w:rPr>
      </w:pPr>
      <w:r w:rsidRPr="00470629">
        <w:rPr>
          <w:rFonts w:ascii="Arial" w:hAnsi="Arial" w:cs="Arial"/>
        </w:rPr>
        <w:t xml:space="preserve">In terms of benefits arising from research, any such benefits can be classified as </w:t>
      </w:r>
      <w:r>
        <w:rPr>
          <w:rFonts w:ascii="Arial" w:hAnsi="Arial" w:cs="Arial"/>
        </w:rPr>
        <w:t>follows</w:t>
      </w:r>
      <w:r w:rsidRPr="00470629">
        <w:rPr>
          <w:rFonts w:ascii="Arial" w:hAnsi="Arial" w:cs="Arial"/>
        </w:rPr>
        <w:t>.</w:t>
      </w:r>
      <w:r>
        <w:rPr>
          <w:rFonts w:ascii="Arial" w:hAnsi="Arial" w:cs="Arial"/>
        </w:rPr>
        <w:t xml:space="preserve"> </w:t>
      </w:r>
      <w:r w:rsidRPr="00470629">
        <w:rPr>
          <w:rFonts w:ascii="Arial" w:hAnsi="Arial" w:cs="Arial"/>
        </w:rPr>
        <w:t xml:space="preserve"> Basic science initiatives typically fall into the category of ‘</w:t>
      </w:r>
      <w:r>
        <w:rPr>
          <w:rFonts w:ascii="Arial" w:hAnsi="Arial" w:cs="Arial"/>
        </w:rPr>
        <w:t>i</w:t>
      </w:r>
      <w:r w:rsidRPr="00470629">
        <w:rPr>
          <w:rFonts w:ascii="Arial" w:hAnsi="Arial" w:cs="Arial"/>
        </w:rPr>
        <w:t>ncidental/indirect</w:t>
      </w:r>
      <w:r>
        <w:rPr>
          <w:rFonts w:ascii="Arial" w:hAnsi="Arial" w:cs="Arial"/>
        </w:rPr>
        <w:t xml:space="preserve"> benefit</w:t>
      </w:r>
      <w:r w:rsidRPr="00470629">
        <w:rPr>
          <w:rFonts w:ascii="Arial" w:hAnsi="Arial" w:cs="Arial"/>
        </w:rPr>
        <w:t xml:space="preserve">’ </w:t>
      </w:r>
      <w:r>
        <w:rPr>
          <w:rFonts w:ascii="Arial" w:hAnsi="Arial" w:cs="Arial"/>
        </w:rPr>
        <w:t xml:space="preserve">and </w:t>
      </w:r>
      <w:r w:rsidRPr="00470629">
        <w:rPr>
          <w:rFonts w:ascii="Arial" w:hAnsi="Arial" w:cs="Arial"/>
        </w:rPr>
        <w:t xml:space="preserve">thus generally weak potential to </w:t>
      </w:r>
      <w:r>
        <w:rPr>
          <w:rFonts w:ascii="Arial" w:hAnsi="Arial" w:cs="Arial"/>
        </w:rPr>
        <w:t xml:space="preserve">specifically </w:t>
      </w:r>
      <w:r w:rsidRPr="00470629">
        <w:rPr>
          <w:rFonts w:ascii="Arial" w:hAnsi="Arial" w:cs="Arial"/>
        </w:rPr>
        <w:t>benefit Māori.</w:t>
      </w:r>
      <w:r>
        <w:rPr>
          <w:rFonts w:ascii="Arial" w:hAnsi="Arial" w:cs="Arial"/>
        </w:rPr>
        <w:t xml:space="preserve"> </w:t>
      </w:r>
      <w:r w:rsidRPr="00470629">
        <w:rPr>
          <w:rFonts w:ascii="Arial" w:hAnsi="Arial" w:cs="Arial"/>
        </w:rPr>
        <w:t xml:space="preserve"> Nonetheless Māori can and often do benefit from such research, thus developing relationships with Māori can direct</w:t>
      </w:r>
      <w:r>
        <w:rPr>
          <w:rFonts w:ascii="Arial" w:hAnsi="Arial" w:cs="Arial"/>
        </w:rPr>
        <w:t>ly</w:t>
      </w:r>
      <w:r w:rsidRPr="00470629">
        <w:rPr>
          <w:rFonts w:ascii="Arial" w:hAnsi="Arial" w:cs="Arial"/>
        </w:rPr>
        <w:t xml:space="preserve"> influence the possibility of beneficial outcomes.</w:t>
      </w:r>
      <w:r>
        <w:rPr>
          <w:rFonts w:ascii="Arial" w:hAnsi="Arial" w:cs="Arial"/>
        </w:rPr>
        <w:t xml:space="preserve"> </w:t>
      </w:r>
      <w:r w:rsidRPr="00470629">
        <w:rPr>
          <w:rFonts w:ascii="Arial" w:hAnsi="Arial" w:cs="Arial"/>
        </w:rPr>
        <w:t xml:space="preserve"> Such relationships can be internal to the research team – e.g.,</w:t>
      </w:r>
      <w:r>
        <w:rPr>
          <w:rFonts w:ascii="Arial" w:hAnsi="Arial" w:cs="Arial"/>
        </w:rPr>
        <w:t xml:space="preserve"> the</w:t>
      </w:r>
      <w:r w:rsidRPr="00470629">
        <w:rPr>
          <w:rFonts w:ascii="Arial" w:hAnsi="Arial" w:cs="Arial"/>
        </w:rPr>
        <w:t xml:space="preserve"> training of Māori researchers.</w:t>
      </w:r>
      <w:r>
        <w:rPr>
          <w:rFonts w:ascii="Arial" w:hAnsi="Arial" w:cs="Arial"/>
        </w:rPr>
        <w:t xml:space="preserve"> </w:t>
      </w:r>
      <w:r w:rsidRPr="00470629">
        <w:rPr>
          <w:rFonts w:ascii="Arial" w:hAnsi="Arial" w:cs="Arial"/>
        </w:rPr>
        <w:t xml:space="preserve"> </w:t>
      </w:r>
      <w:r w:rsidRPr="00470629">
        <w:rPr>
          <w:rFonts w:ascii="Arial" w:hAnsi="Arial" w:cs="Arial"/>
          <w:color w:val="000000"/>
          <w:lang w:val="en-GB"/>
        </w:rPr>
        <w:t>How might this research build new, or enhance existing, relationships with Māori? (for the MWC or individual researchers), To what extent have you discussed the research with Māori partners and agreed on the methodology you will use? (this could be existing partners in the MWC (N</w:t>
      </w:r>
      <w:r>
        <w:rPr>
          <w:rFonts w:ascii="Arial" w:hAnsi="Arial" w:cs="Arial"/>
          <w:color w:val="000000"/>
          <w:lang w:val="en-GB"/>
        </w:rPr>
        <w:t xml:space="preserve">gāti Porou </w:t>
      </w:r>
      <w:proofErr w:type="spellStart"/>
      <w:r>
        <w:rPr>
          <w:rFonts w:ascii="Arial" w:hAnsi="Arial" w:cs="Arial"/>
          <w:color w:val="000000"/>
          <w:lang w:val="en-GB"/>
        </w:rPr>
        <w:t>Oranga</w:t>
      </w:r>
      <w:proofErr w:type="spellEnd"/>
      <w:r w:rsidRPr="00470629">
        <w:rPr>
          <w:rFonts w:ascii="Arial" w:hAnsi="Arial" w:cs="Arial"/>
          <w:color w:val="000000"/>
          <w:lang w:val="en-GB"/>
        </w:rPr>
        <w:t xml:space="preserve">, </w:t>
      </w:r>
      <w:r>
        <w:rPr>
          <w:rFonts w:ascii="Arial" w:hAnsi="Arial" w:cs="Arial"/>
          <w:color w:val="000000"/>
          <w:lang w:val="en-GB"/>
        </w:rPr>
        <w:t xml:space="preserve">The </w:t>
      </w:r>
      <w:proofErr w:type="spellStart"/>
      <w:r>
        <w:rPr>
          <w:rFonts w:ascii="Arial" w:hAnsi="Arial" w:cs="Arial"/>
          <w:color w:val="000000"/>
          <w:lang w:val="en-GB"/>
        </w:rPr>
        <w:t>Moko</w:t>
      </w:r>
      <w:proofErr w:type="spellEnd"/>
      <w:r>
        <w:rPr>
          <w:rFonts w:ascii="Arial" w:hAnsi="Arial" w:cs="Arial"/>
          <w:color w:val="000000"/>
          <w:lang w:val="en-GB"/>
        </w:rPr>
        <w:t xml:space="preserve"> Foundation</w:t>
      </w:r>
      <w:r w:rsidRPr="00470629">
        <w:rPr>
          <w:rFonts w:ascii="Arial" w:hAnsi="Arial" w:cs="Arial"/>
          <w:color w:val="000000"/>
          <w:lang w:val="en-GB"/>
        </w:rPr>
        <w:t>) or partners that they have established for the purpose of their specific research project.</w:t>
      </w:r>
      <w:r>
        <w:rPr>
          <w:rFonts w:ascii="Arial" w:hAnsi="Arial" w:cs="Arial"/>
          <w:color w:val="000000"/>
          <w:lang w:val="en-GB"/>
        </w:rPr>
        <w:t>)</w:t>
      </w:r>
    </w:p>
    <w:p w14:paraId="49D42746" w14:textId="77777777" w:rsidR="00EA29C5" w:rsidRPr="00470629" w:rsidRDefault="00EA29C5" w:rsidP="00EA29C5">
      <w:pPr>
        <w:pStyle w:val="ListParagraph"/>
        <w:widowControl/>
        <w:numPr>
          <w:ilvl w:val="0"/>
          <w:numId w:val="8"/>
        </w:numPr>
        <w:autoSpaceDE/>
        <w:autoSpaceDN/>
        <w:contextualSpacing/>
        <w:rPr>
          <w:rFonts w:ascii="Arial" w:hAnsi="Arial" w:cs="Arial"/>
        </w:rPr>
      </w:pPr>
      <w:r w:rsidRPr="00470629">
        <w:rPr>
          <w:rFonts w:ascii="Arial" w:hAnsi="Arial" w:cs="Arial"/>
        </w:rPr>
        <w:t>Partnerships with Pacific communities in NZ and/or with others in the region and internationally, and ways in which the research will help to attract and nurture the next generation of Pacific scientists.</w:t>
      </w:r>
    </w:p>
    <w:p w14:paraId="6AF37B73" w14:textId="77777777" w:rsidR="00EA29C5" w:rsidRPr="00470629" w:rsidRDefault="00EA29C5" w:rsidP="00EA29C5">
      <w:pPr>
        <w:pStyle w:val="ListParagraph"/>
        <w:widowControl/>
        <w:numPr>
          <w:ilvl w:val="0"/>
          <w:numId w:val="8"/>
        </w:numPr>
        <w:autoSpaceDE/>
        <w:autoSpaceDN/>
        <w:contextualSpacing/>
        <w:rPr>
          <w:rFonts w:ascii="Arial" w:hAnsi="Arial" w:cs="Arial"/>
        </w:rPr>
      </w:pPr>
      <w:r w:rsidRPr="00470629">
        <w:rPr>
          <w:rFonts w:ascii="Arial" w:hAnsi="Arial" w:cs="Arial"/>
        </w:rPr>
        <w:t>Possibility of infusing the research with diverse Pacific knowledge systems</w:t>
      </w:r>
      <w:r>
        <w:rPr>
          <w:rFonts w:ascii="Arial" w:hAnsi="Arial" w:cs="Arial"/>
        </w:rPr>
        <w:t xml:space="preserve"> and research models/</w:t>
      </w:r>
      <w:proofErr w:type="gramStart"/>
      <w:r>
        <w:rPr>
          <w:rFonts w:ascii="Arial" w:hAnsi="Arial" w:cs="Arial"/>
        </w:rPr>
        <w:t>frameworks</w:t>
      </w:r>
      <w:r w:rsidRPr="00470629">
        <w:rPr>
          <w:rFonts w:ascii="Arial" w:hAnsi="Arial" w:cs="Arial"/>
        </w:rPr>
        <w:t>, and</w:t>
      </w:r>
      <w:proofErr w:type="gramEnd"/>
      <w:r w:rsidRPr="00470629">
        <w:rPr>
          <w:rFonts w:ascii="Arial" w:hAnsi="Arial" w:cs="Arial"/>
        </w:rPr>
        <w:t xml:space="preserve"> grounded in core principles of ethical research practice.</w:t>
      </w:r>
    </w:p>
    <w:p w14:paraId="19D3CE82" w14:textId="77777777" w:rsidR="00EA29C5" w:rsidRPr="00470629" w:rsidRDefault="00EA29C5" w:rsidP="00EA29C5">
      <w:pPr>
        <w:pStyle w:val="ListParagraph"/>
        <w:widowControl/>
        <w:numPr>
          <w:ilvl w:val="0"/>
          <w:numId w:val="8"/>
        </w:numPr>
        <w:autoSpaceDE/>
        <w:autoSpaceDN/>
        <w:contextualSpacing/>
        <w:rPr>
          <w:rFonts w:ascii="Arial" w:hAnsi="Arial" w:cs="Arial"/>
        </w:rPr>
      </w:pPr>
      <w:r w:rsidRPr="00470629">
        <w:rPr>
          <w:rFonts w:ascii="Arial" w:hAnsi="Arial" w:cs="Arial"/>
        </w:rPr>
        <w:t>Accountability mechanisms within the research to protect the safety and career development of Pacific researchers e.g. including sponsors or mentor or community advisory representative.</w:t>
      </w:r>
    </w:p>
    <w:p w14:paraId="6DA62212" w14:textId="77777777" w:rsidR="00EA29C5" w:rsidRPr="00470629" w:rsidRDefault="00EA29C5" w:rsidP="00EA29C5">
      <w:pPr>
        <w:pStyle w:val="ListParagraph"/>
        <w:widowControl/>
        <w:numPr>
          <w:ilvl w:val="0"/>
          <w:numId w:val="8"/>
        </w:numPr>
        <w:autoSpaceDE/>
        <w:autoSpaceDN/>
        <w:contextualSpacing/>
        <w:rPr>
          <w:rFonts w:ascii="Arial" w:hAnsi="Arial" w:cs="Arial"/>
        </w:rPr>
      </w:pPr>
      <w:r w:rsidRPr="00470629">
        <w:rPr>
          <w:rFonts w:ascii="Arial" w:hAnsi="Arial" w:cs="Arial"/>
        </w:rPr>
        <w:t>New standard of research excellence in Pacific health knowledge.</w:t>
      </w:r>
    </w:p>
    <w:p w14:paraId="19760C5F" w14:textId="77777777" w:rsidR="00EA29C5" w:rsidRPr="00470629" w:rsidRDefault="00EA29C5" w:rsidP="00EA29C5">
      <w:pPr>
        <w:pStyle w:val="ListParagraph"/>
        <w:widowControl/>
        <w:numPr>
          <w:ilvl w:val="0"/>
          <w:numId w:val="8"/>
        </w:numPr>
        <w:autoSpaceDE/>
        <w:autoSpaceDN/>
        <w:contextualSpacing/>
        <w:rPr>
          <w:rFonts w:ascii="Arial" w:hAnsi="Arial" w:cs="Arial"/>
        </w:rPr>
      </w:pPr>
      <w:proofErr w:type="spellStart"/>
      <w:r w:rsidRPr="00470629">
        <w:rPr>
          <w:rFonts w:ascii="Arial" w:hAnsi="Arial" w:cs="Arial"/>
        </w:rPr>
        <w:t>Prioritise</w:t>
      </w:r>
      <w:proofErr w:type="spellEnd"/>
      <w:r w:rsidRPr="00470629">
        <w:rPr>
          <w:rFonts w:ascii="Arial" w:hAnsi="Arial" w:cs="Arial"/>
        </w:rPr>
        <w:t xml:space="preserve"> unmet Pacific health needs and need for precision medicine and precision treatments e.g. in response to COVID-19 pandemic and new variants, genetics of chronic disease in ethnic-specific Pacific population groups.</w:t>
      </w:r>
    </w:p>
    <w:p w14:paraId="50B050EF" w14:textId="77777777" w:rsidR="00EA29C5" w:rsidRPr="007A4B20" w:rsidRDefault="00EA29C5" w:rsidP="003D722A">
      <w:pPr>
        <w:pStyle w:val="BodyText"/>
        <w:spacing w:before="97"/>
        <w:ind w:right="561"/>
        <w:jc w:val="both"/>
        <w:rPr>
          <w:rFonts w:ascii="Arial" w:hAnsi="Arial" w:cs="Arial"/>
        </w:rPr>
      </w:pPr>
    </w:p>
    <w:sectPr w:rsidR="00EA29C5" w:rsidRPr="007A4B20" w:rsidSect="003A4547">
      <w:pgSz w:w="1191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4EFE04" w14:textId="77777777" w:rsidR="00AE673E" w:rsidRDefault="00AE673E" w:rsidP="00EA29C5">
      <w:r>
        <w:separator/>
      </w:r>
    </w:p>
  </w:endnote>
  <w:endnote w:type="continuationSeparator" w:id="0">
    <w:p w14:paraId="1DCA26C8" w14:textId="77777777" w:rsidR="00AE673E" w:rsidRDefault="00AE673E" w:rsidP="00EA2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3473189"/>
      <w:docPartObj>
        <w:docPartGallery w:val="Page Numbers (Bottom of Page)"/>
        <w:docPartUnique/>
      </w:docPartObj>
    </w:sdtPr>
    <w:sdtContent>
      <w:p w14:paraId="1E6F21D3" w14:textId="1FA1C365" w:rsidR="00682EE1" w:rsidRDefault="00682EE1" w:rsidP="00FE7E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126310" w14:textId="77777777" w:rsidR="00682EE1" w:rsidRDefault="00682EE1" w:rsidP="00BF1C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7659014"/>
      <w:docPartObj>
        <w:docPartGallery w:val="Page Numbers (Bottom of Page)"/>
        <w:docPartUnique/>
      </w:docPartObj>
    </w:sdtPr>
    <w:sdtContent>
      <w:p w14:paraId="343AD9DF" w14:textId="16DF23F4" w:rsidR="00682EE1" w:rsidRDefault="00682EE1" w:rsidP="00FE7E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C9F10F3" w14:textId="4B32EC4B" w:rsidR="00EA29C5" w:rsidRDefault="00EA29C5" w:rsidP="00BF1CA8">
    <w:pPr>
      <w:pStyle w:val="Footer"/>
      <w:ind w:right="360"/>
      <w:jc w:val="center"/>
    </w:pPr>
  </w:p>
  <w:p w14:paraId="1A0B8929" w14:textId="77777777" w:rsidR="00EA29C5" w:rsidRDefault="00EA2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9517EB" w14:textId="77777777" w:rsidR="00AE673E" w:rsidRDefault="00AE673E" w:rsidP="00EA29C5">
      <w:r>
        <w:separator/>
      </w:r>
    </w:p>
  </w:footnote>
  <w:footnote w:type="continuationSeparator" w:id="0">
    <w:p w14:paraId="550EA0D2" w14:textId="77777777" w:rsidR="00AE673E" w:rsidRDefault="00AE673E" w:rsidP="00EA2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548258" w14:textId="5E43DB8C" w:rsidR="00EA29C5" w:rsidRDefault="00EA29C5" w:rsidP="00C81927">
    <w:pPr>
      <w:pStyle w:val="Header"/>
      <w:tabs>
        <w:tab w:val="left" w:pos="2360"/>
        <w:tab w:val="right" w:pos="9027"/>
      </w:tabs>
      <w:jc w:val="lef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81490"/>
    <w:multiLevelType w:val="hybridMultilevel"/>
    <w:tmpl w:val="2DF6AD8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098CCC9F"/>
    <w:multiLevelType w:val="hybridMultilevel"/>
    <w:tmpl w:val="E94A45A0"/>
    <w:lvl w:ilvl="0" w:tplc="826CD07A">
      <w:start w:val="1"/>
      <w:numFmt w:val="bullet"/>
      <w:lvlText w:val=""/>
      <w:lvlJc w:val="left"/>
      <w:pPr>
        <w:ind w:left="360" w:hanging="360"/>
      </w:pPr>
      <w:rPr>
        <w:rFonts w:ascii="Symbol" w:hAnsi="Symbol" w:hint="default"/>
      </w:rPr>
    </w:lvl>
    <w:lvl w:ilvl="1" w:tplc="875A3166">
      <w:start w:val="1"/>
      <w:numFmt w:val="bullet"/>
      <w:lvlText w:val="o"/>
      <w:lvlJc w:val="left"/>
      <w:pPr>
        <w:ind w:left="1080" w:hanging="360"/>
      </w:pPr>
      <w:rPr>
        <w:rFonts w:ascii="Courier New" w:hAnsi="Courier New" w:hint="default"/>
      </w:rPr>
    </w:lvl>
    <w:lvl w:ilvl="2" w:tplc="78B65BC8">
      <w:start w:val="1"/>
      <w:numFmt w:val="bullet"/>
      <w:lvlText w:val=""/>
      <w:lvlJc w:val="left"/>
      <w:pPr>
        <w:ind w:left="1800" w:hanging="360"/>
      </w:pPr>
      <w:rPr>
        <w:rFonts w:ascii="Wingdings" w:hAnsi="Wingdings" w:hint="default"/>
      </w:rPr>
    </w:lvl>
    <w:lvl w:ilvl="3" w:tplc="6FC09B44">
      <w:start w:val="1"/>
      <w:numFmt w:val="bullet"/>
      <w:lvlText w:val=""/>
      <w:lvlJc w:val="left"/>
      <w:pPr>
        <w:ind w:left="2520" w:hanging="360"/>
      </w:pPr>
      <w:rPr>
        <w:rFonts w:ascii="Symbol" w:hAnsi="Symbol" w:hint="default"/>
      </w:rPr>
    </w:lvl>
    <w:lvl w:ilvl="4" w:tplc="02828282">
      <w:start w:val="1"/>
      <w:numFmt w:val="bullet"/>
      <w:lvlText w:val="o"/>
      <w:lvlJc w:val="left"/>
      <w:pPr>
        <w:ind w:left="3240" w:hanging="360"/>
      </w:pPr>
      <w:rPr>
        <w:rFonts w:ascii="Courier New" w:hAnsi="Courier New" w:hint="default"/>
      </w:rPr>
    </w:lvl>
    <w:lvl w:ilvl="5" w:tplc="265A9E18">
      <w:start w:val="1"/>
      <w:numFmt w:val="bullet"/>
      <w:lvlText w:val=""/>
      <w:lvlJc w:val="left"/>
      <w:pPr>
        <w:ind w:left="3960" w:hanging="360"/>
      </w:pPr>
      <w:rPr>
        <w:rFonts w:ascii="Wingdings" w:hAnsi="Wingdings" w:hint="default"/>
      </w:rPr>
    </w:lvl>
    <w:lvl w:ilvl="6" w:tplc="9CAE6BC2">
      <w:start w:val="1"/>
      <w:numFmt w:val="bullet"/>
      <w:lvlText w:val=""/>
      <w:lvlJc w:val="left"/>
      <w:pPr>
        <w:ind w:left="4680" w:hanging="360"/>
      </w:pPr>
      <w:rPr>
        <w:rFonts w:ascii="Symbol" w:hAnsi="Symbol" w:hint="default"/>
      </w:rPr>
    </w:lvl>
    <w:lvl w:ilvl="7" w:tplc="6FD0E848">
      <w:start w:val="1"/>
      <w:numFmt w:val="bullet"/>
      <w:lvlText w:val="o"/>
      <w:lvlJc w:val="left"/>
      <w:pPr>
        <w:ind w:left="5400" w:hanging="360"/>
      </w:pPr>
      <w:rPr>
        <w:rFonts w:ascii="Courier New" w:hAnsi="Courier New" w:hint="default"/>
      </w:rPr>
    </w:lvl>
    <w:lvl w:ilvl="8" w:tplc="96CE01C6">
      <w:start w:val="1"/>
      <w:numFmt w:val="bullet"/>
      <w:lvlText w:val=""/>
      <w:lvlJc w:val="left"/>
      <w:pPr>
        <w:ind w:left="6120" w:hanging="360"/>
      </w:pPr>
      <w:rPr>
        <w:rFonts w:ascii="Wingdings" w:hAnsi="Wingdings" w:hint="default"/>
      </w:rPr>
    </w:lvl>
  </w:abstractNum>
  <w:abstractNum w:abstractNumId="2" w15:restartNumberingAfterBreak="0">
    <w:nsid w:val="09A47D73"/>
    <w:multiLevelType w:val="hybridMultilevel"/>
    <w:tmpl w:val="14742C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E5AA039"/>
    <w:multiLevelType w:val="hybridMultilevel"/>
    <w:tmpl w:val="7FEADBC2"/>
    <w:lvl w:ilvl="0" w:tplc="2474D8B4">
      <w:start w:val="1"/>
      <w:numFmt w:val="bullet"/>
      <w:lvlText w:val=""/>
      <w:lvlJc w:val="left"/>
      <w:pPr>
        <w:ind w:left="360" w:hanging="360"/>
      </w:pPr>
      <w:rPr>
        <w:rFonts w:ascii="Symbol" w:hAnsi="Symbol" w:hint="default"/>
      </w:rPr>
    </w:lvl>
    <w:lvl w:ilvl="1" w:tplc="03121F5A">
      <w:start w:val="1"/>
      <w:numFmt w:val="bullet"/>
      <w:lvlText w:val="o"/>
      <w:lvlJc w:val="left"/>
      <w:pPr>
        <w:ind w:left="1080" w:hanging="360"/>
      </w:pPr>
      <w:rPr>
        <w:rFonts w:ascii="Courier New" w:hAnsi="Courier New" w:hint="default"/>
      </w:rPr>
    </w:lvl>
    <w:lvl w:ilvl="2" w:tplc="3B7218F4">
      <w:start w:val="1"/>
      <w:numFmt w:val="bullet"/>
      <w:lvlText w:val=""/>
      <w:lvlJc w:val="left"/>
      <w:pPr>
        <w:ind w:left="1800" w:hanging="360"/>
      </w:pPr>
      <w:rPr>
        <w:rFonts w:ascii="Wingdings" w:hAnsi="Wingdings" w:hint="default"/>
      </w:rPr>
    </w:lvl>
    <w:lvl w:ilvl="3" w:tplc="C48E1362">
      <w:start w:val="1"/>
      <w:numFmt w:val="bullet"/>
      <w:lvlText w:val=""/>
      <w:lvlJc w:val="left"/>
      <w:pPr>
        <w:ind w:left="2520" w:hanging="360"/>
      </w:pPr>
      <w:rPr>
        <w:rFonts w:ascii="Symbol" w:hAnsi="Symbol" w:hint="default"/>
      </w:rPr>
    </w:lvl>
    <w:lvl w:ilvl="4" w:tplc="E8328168">
      <w:start w:val="1"/>
      <w:numFmt w:val="bullet"/>
      <w:lvlText w:val="o"/>
      <w:lvlJc w:val="left"/>
      <w:pPr>
        <w:ind w:left="3240" w:hanging="360"/>
      </w:pPr>
      <w:rPr>
        <w:rFonts w:ascii="Courier New" w:hAnsi="Courier New" w:hint="default"/>
      </w:rPr>
    </w:lvl>
    <w:lvl w:ilvl="5" w:tplc="F2EC06CC">
      <w:start w:val="1"/>
      <w:numFmt w:val="bullet"/>
      <w:lvlText w:val=""/>
      <w:lvlJc w:val="left"/>
      <w:pPr>
        <w:ind w:left="3960" w:hanging="360"/>
      </w:pPr>
      <w:rPr>
        <w:rFonts w:ascii="Wingdings" w:hAnsi="Wingdings" w:hint="default"/>
      </w:rPr>
    </w:lvl>
    <w:lvl w:ilvl="6" w:tplc="44C81FDC">
      <w:start w:val="1"/>
      <w:numFmt w:val="bullet"/>
      <w:lvlText w:val=""/>
      <w:lvlJc w:val="left"/>
      <w:pPr>
        <w:ind w:left="4680" w:hanging="360"/>
      </w:pPr>
      <w:rPr>
        <w:rFonts w:ascii="Symbol" w:hAnsi="Symbol" w:hint="default"/>
      </w:rPr>
    </w:lvl>
    <w:lvl w:ilvl="7" w:tplc="8FF8A262">
      <w:start w:val="1"/>
      <w:numFmt w:val="bullet"/>
      <w:lvlText w:val="o"/>
      <w:lvlJc w:val="left"/>
      <w:pPr>
        <w:ind w:left="5400" w:hanging="360"/>
      </w:pPr>
      <w:rPr>
        <w:rFonts w:ascii="Courier New" w:hAnsi="Courier New" w:hint="default"/>
      </w:rPr>
    </w:lvl>
    <w:lvl w:ilvl="8" w:tplc="2C2E325C">
      <w:start w:val="1"/>
      <w:numFmt w:val="bullet"/>
      <w:lvlText w:val=""/>
      <w:lvlJc w:val="left"/>
      <w:pPr>
        <w:ind w:left="6120" w:hanging="360"/>
      </w:pPr>
      <w:rPr>
        <w:rFonts w:ascii="Wingdings" w:hAnsi="Wingdings" w:hint="default"/>
      </w:rPr>
    </w:lvl>
  </w:abstractNum>
  <w:abstractNum w:abstractNumId="4" w15:restartNumberingAfterBreak="0">
    <w:nsid w:val="165E5171"/>
    <w:multiLevelType w:val="hybridMultilevel"/>
    <w:tmpl w:val="33A82B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9867246"/>
    <w:multiLevelType w:val="multilevel"/>
    <w:tmpl w:val="683E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91145A"/>
    <w:multiLevelType w:val="hybridMultilevel"/>
    <w:tmpl w:val="DC868926"/>
    <w:lvl w:ilvl="0" w:tplc="E0140BC4">
      <w:start w:val="1"/>
      <w:numFmt w:val="lowerLetter"/>
      <w:lvlText w:val="%1)"/>
      <w:lvlJc w:val="left"/>
      <w:pPr>
        <w:ind w:left="840" w:hanging="360"/>
        <w:jc w:val="left"/>
      </w:pPr>
      <w:rPr>
        <w:rFonts w:ascii="Calibri" w:eastAsia="Calibri" w:hAnsi="Calibri" w:cs="Calibri" w:hint="default"/>
        <w:b w:val="0"/>
        <w:bCs w:val="0"/>
        <w:i w:val="0"/>
        <w:iCs w:val="0"/>
        <w:spacing w:val="-1"/>
        <w:w w:val="105"/>
        <w:sz w:val="24"/>
        <w:szCs w:val="24"/>
        <w:lang w:val="en-US" w:eastAsia="en-US" w:bidi="ar-SA"/>
      </w:rPr>
    </w:lvl>
    <w:lvl w:ilvl="1" w:tplc="B54C970E">
      <w:numFmt w:val="bullet"/>
      <w:lvlText w:val="•"/>
      <w:lvlJc w:val="left"/>
      <w:pPr>
        <w:ind w:left="1680" w:hanging="360"/>
      </w:pPr>
      <w:rPr>
        <w:rFonts w:hint="default"/>
        <w:lang w:val="en-US" w:eastAsia="en-US" w:bidi="ar-SA"/>
      </w:rPr>
    </w:lvl>
    <w:lvl w:ilvl="2" w:tplc="6D7A483C">
      <w:numFmt w:val="bullet"/>
      <w:lvlText w:val="•"/>
      <w:lvlJc w:val="left"/>
      <w:pPr>
        <w:ind w:left="2521" w:hanging="360"/>
      </w:pPr>
      <w:rPr>
        <w:rFonts w:hint="default"/>
        <w:lang w:val="en-US" w:eastAsia="en-US" w:bidi="ar-SA"/>
      </w:rPr>
    </w:lvl>
    <w:lvl w:ilvl="3" w:tplc="96BE84FC">
      <w:numFmt w:val="bullet"/>
      <w:lvlText w:val="•"/>
      <w:lvlJc w:val="left"/>
      <w:pPr>
        <w:ind w:left="3361" w:hanging="360"/>
      </w:pPr>
      <w:rPr>
        <w:rFonts w:hint="default"/>
        <w:lang w:val="en-US" w:eastAsia="en-US" w:bidi="ar-SA"/>
      </w:rPr>
    </w:lvl>
    <w:lvl w:ilvl="4" w:tplc="5C164AEE">
      <w:numFmt w:val="bullet"/>
      <w:lvlText w:val="•"/>
      <w:lvlJc w:val="left"/>
      <w:pPr>
        <w:ind w:left="4202" w:hanging="360"/>
      </w:pPr>
      <w:rPr>
        <w:rFonts w:hint="default"/>
        <w:lang w:val="en-US" w:eastAsia="en-US" w:bidi="ar-SA"/>
      </w:rPr>
    </w:lvl>
    <w:lvl w:ilvl="5" w:tplc="F0F2F248">
      <w:numFmt w:val="bullet"/>
      <w:lvlText w:val="•"/>
      <w:lvlJc w:val="left"/>
      <w:pPr>
        <w:ind w:left="5043" w:hanging="360"/>
      </w:pPr>
      <w:rPr>
        <w:rFonts w:hint="default"/>
        <w:lang w:val="en-US" w:eastAsia="en-US" w:bidi="ar-SA"/>
      </w:rPr>
    </w:lvl>
    <w:lvl w:ilvl="6" w:tplc="4A60D0DA">
      <w:numFmt w:val="bullet"/>
      <w:lvlText w:val="•"/>
      <w:lvlJc w:val="left"/>
      <w:pPr>
        <w:ind w:left="5883" w:hanging="360"/>
      </w:pPr>
      <w:rPr>
        <w:rFonts w:hint="default"/>
        <w:lang w:val="en-US" w:eastAsia="en-US" w:bidi="ar-SA"/>
      </w:rPr>
    </w:lvl>
    <w:lvl w:ilvl="7" w:tplc="F8604550">
      <w:numFmt w:val="bullet"/>
      <w:lvlText w:val="•"/>
      <w:lvlJc w:val="left"/>
      <w:pPr>
        <w:ind w:left="6724" w:hanging="360"/>
      </w:pPr>
      <w:rPr>
        <w:rFonts w:hint="default"/>
        <w:lang w:val="en-US" w:eastAsia="en-US" w:bidi="ar-SA"/>
      </w:rPr>
    </w:lvl>
    <w:lvl w:ilvl="8" w:tplc="8C6C7BFC">
      <w:numFmt w:val="bullet"/>
      <w:lvlText w:val="•"/>
      <w:lvlJc w:val="left"/>
      <w:pPr>
        <w:ind w:left="7565" w:hanging="360"/>
      </w:pPr>
      <w:rPr>
        <w:rFonts w:hint="default"/>
        <w:lang w:val="en-US" w:eastAsia="en-US" w:bidi="ar-SA"/>
      </w:rPr>
    </w:lvl>
  </w:abstractNum>
  <w:abstractNum w:abstractNumId="7" w15:restartNumberingAfterBreak="0">
    <w:nsid w:val="1A91696D"/>
    <w:multiLevelType w:val="hybridMultilevel"/>
    <w:tmpl w:val="AF3635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B710125"/>
    <w:multiLevelType w:val="multilevel"/>
    <w:tmpl w:val="083A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D250BB"/>
    <w:multiLevelType w:val="hybridMultilevel"/>
    <w:tmpl w:val="BEA8AD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A017E1C"/>
    <w:multiLevelType w:val="hybridMultilevel"/>
    <w:tmpl w:val="5394AC06"/>
    <w:lvl w:ilvl="0" w:tplc="11D0989E">
      <w:start w:val="1"/>
      <w:numFmt w:val="bullet"/>
      <w:lvlText w:val=""/>
      <w:lvlJc w:val="left"/>
      <w:pPr>
        <w:ind w:left="360" w:hanging="360"/>
      </w:pPr>
      <w:rPr>
        <w:rFonts w:ascii="Symbol" w:hAnsi="Symbol" w:hint="default"/>
      </w:rPr>
    </w:lvl>
    <w:lvl w:ilvl="1" w:tplc="7FAC4B08">
      <w:start w:val="1"/>
      <w:numFmt w:val="bullet"/>
      <w:lvlText w:val="o"/>
      <w:lvlJc w:val="left"/>
      <w:pPr>
        <w:ind w:left="1080" w:hanging="360"/>
      </w:pPr>
      <w:rPr>
        <w:rFonts w:ascii="Courier New" w:hAnsi="Courier New" w:hint="default"/>
      </w:rPr>
    </w:lvl>
    <w:lvl w:ilvl="2" w:tplc="020A7F46">
      <w:start w:val="1"/>
      <w:numFmt w:val="bullet"/>
      <w:lvlText w:val=""/>
      <w:lvlJc w:val="left"/>
      <w:pPr>
        <w:ind w:left="1800" w:hanging="360"/>
      </w:pPr>
      <w:rPr>
        <w:rFonts w:ascii="Wingdings" w:hAnsi="Wingdings" w:hint="default"/>
      </w:rPr>
    </w:lvl>
    <w:lvl w:ilvl="3" w:tplc="1B0E5340">
      <w:start w:val="1"/>
      <w:numFmt w:val="bullet"/>
      <w:lvlText w:val=""/>
      <w:lvlJc w:val="left"/>
      <w:pPr>
        <w:ind w:left="2520" w:hanging="360"/>
      </w:pPr>
      <w:rPr>
        <w:rFonts w:ascii="Symbol" w:hAnsi="Symbol" w:hint="default"/>
      </w:rPr>
    </w:lvl>
    <w:lvl w:ilvl="4" w:tplc="1B669CBA">
      <w:start w:val="1"/>
      <w:numFmt w:val="bullet"/>
      <w:lvlText w:val="o"/>
      <w:lvlJc w:val="left"/>
      <w:pPr>
        <w:ind w:left="3240" w:hanging="360"/>
      </w:pPr>
      <w:rPr>
        <w:rFonts w:ascii="Courier New" w:hAnsi="Courier New" w:hint="default"/>
      </w:rPr>
    </w:lvl>
    <w:lvl w:ilvl="5" w:tplc="1D686552">
      <w:start w:val="1"/>
      <w:numFmt w:val="bullet"/>
      <w:lvlText w:val=""/>
      <w:lvlJc w:val="left"/>
      <w:pPr>
        <w:ind w:left="3960" w:hanging="360"/>
      </w:pPr>
      <w:rPr>
        <w:rFonts w:ascii="Wingdings" w:hAnsi="Wingdings" w:hint="default"/>
      </w:rPr>
    </w:lvl>
    <w:lvl w:ilvl="6" w:tplc="8F54F8B4">
      <w:start w:val="1"/>
      <w:numFmt w:val="bullet"/>
      <w:lvlText w:val=""/>
      <w:lvlJc w:val="left"/>
      <w:pPr>
        <w:ind w:left="4680" w:hanging="360"/>
      </w:pPr>
      <w:rPr>
        <w:rFonts w:ascii="Symbol" w:hAnsi="Symbol" w:hint="default"/>
      </w:rPr>
    </w:lvl>
    <w:lvl w:ilvl="7" w:tplc="D71E1F56">
      <w:start w:val="1"/>
      <w:numFmt w:val="bullet"/>
      <w:lvlText w:val="o"/>
      <w:lvlJc w:val="left"/>
      <w:pPr>
        <w:ind w:left="5400" w:hanging="360"/>
      </w:pPr>
      <w:rPr>
        <w:rFonts w:ascii="Courier New" w:hAnsi="Courier New" w:hint="default"/>
      </w:rPr>
    </w:lvl>
    <w:lvl w:ilvl="8" w:tplc="6FF8E810">
      <w:start w:val="1"/>
      <w:numFmt w:val="bullet"/>
      <w:lvlText w:val=""/>
      <w:lvlJc w:val="left"/>
      <w:pPr>
        <w:ind w:left="6120" w:hanging="360"/>
      </w:pPr>
      <w:rPr>
        <w:rFonts w:ascii="Wingdings" w:hAnsi="Wingdings" w:hint="default"/>
      </w:rPr>
    </w:lvl>
  </w:abstractNum>
  <w:abstractNum w:abstractNumId="11" w15:restartNumberingAfterBreak="0">
    <w:nsid w:val="32A77F5C"/>
    <w:multiLevelType w:val="multilevel"/>
    <w:tmpl w:val="6A8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E22195"/>
    <w:multiLevelType w:val="hybridMultilevel"/>
    <w:tmpl w:val="49860FCA"/>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BB12AEE"/>
    <w:multiLevelType w:val="hybridMultilevel"/>
    <w:tmpl w:val="A2B8E432"/>
    <w:lvl w:ilvl="0" w:tplc="A3E895A2">
      <w:start w:val="8"/>
      <w:numFmt w:val="bullet"/>
      <w:pStyle w:val="ListMWC"/>
      <w:lvlText w:val="-"/>
      <w:lvlJc w:val="left"/>
      <w:pPr>
        <w:tabs>
          <w:tab w:val="num" w:pos="567"/>
        </w:tabs>
        <w:ind w:left="567" w:hanging="283"/>
      </w:pPr>
      <w:rPr>
        <w:rFonts w:ascii="Times New Roman" w:eastAsia="Times New Roman" w:hAnsi="Times New Roman" w:cs="Times New Roman"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1935EC"/>
    <w:multiLevelType w:val="hybridMultilevel"/>
    <w:tmpl w:val="9AA2DAB8"/>
    <w:lvl w:ilvl="0" w:tplc="14090001">
      <w:start w:val="1"/>
      <w:numFmt w:val="bullet"/>
      <w:lvlText w:val=""/>
      <w:lvlJc w:val="left"/>
      <w:pPr>
        <w:ind w:left="720" w:hanging="360"/>
      </w:pPr>
      <w:rPr>
        <w:rFonts w:ascii="Symbol" w:hAnsi="Symbol" w:hint="default"/>
      </w:rPr>
    </w:lvl>
    <w:lvl w:ilvl="1" w:tplc="88EE7880">
      <w:numFmt w:val="bullet"/>
      <w:lvlText w:val="·"/>
      <w:lvlJc w:val="left"/>
      <w:pPr>
        <w:ind w:left="1474" w:hanging="394"/>
      </w:pPr>
      <w:rPr>
        <w:rFonts w:ascii="Calibri" w:eastAsiaTheme="minorEastAsia" w:hAnsi="Calibri" w:cs="Calibr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7DB6B67"/>
    <w:multiLevelType w:val="hybridMultilevel"/>
    <w:tmpl w:val="9BC8D5E8"/>
    <w:lvl w:ilvl="0" w:tplc="08090001">
      <w:start w:val="1"/>
      <w:numFmt w:val="bullet"/>
      <w:lvlText w:val=""/>
      <w:lvlJc w:val="left"/>
      <w:pPr>
        <w:ind w:left="774" w:hanging="360"/>
      </w:pPr>
      <w:rPr>
        <w:rFonts w:ascii="Symbol" w:hAnsi="Symbol" w:hint="default"/>
      </w:rPr>
    </w:lvl>
    <w:lvl w:ilvl="1" w:tplc="08090003">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6" w15:restartNumberingAfterBreak="0">
    <w:nsid w:val="4AE50AEC"/>
    <w:multiLevelType w:val="hybridMultilevel"/>
    <w:tmpl w:val="EA56A10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1EA325D"/>
    <w:multiLevelType w:val="hybridMultilevel"/>
    <w:tmpl w:val="A946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1954E5"/>
    <w:multiLevelType w:val="hybridMultilevel"/>
    <w:tmpl w:val="041CFE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4F17C35"/>
    <w:multiLevelType w:val="multilevel"/>
    <w:tmpl w:val="B4F8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36ABD"/>
    <w:multiLevelType w:val="hybridMultilevel"/>
    <w:tmpl w:val="6226D556"/>
    <w:lvl w:ilvl="0" w:tplc="7DB86210">
      <w:start w:val="1"/>
      <w:numFmt w:val="decimal"/>
      <w:lvlText w:val="%1."/>
      <w:lvlJc w:val="left"/>
      <w:pPr>
        <w:ind w:left="479" w:hanging="360"/>
      </w:pPr>
      <w:rPr>
        <w:rFonts w:hint="default"/>
      </w:r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abstractNum w:abstractNumId="21" w15:restartNumberingAfterBreak="0">
    <w:nsid w:val="724C1FE1"/>
    <w:multiLevelType w:val="hybridMultilevel"/>
    <w:tmpl w:val="1C8C89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4664391"/>
    <w:multiLevelType w:val="hybridMultilevel"/>
    <w:tmpl w:val="A76EC8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76859903">
    <w:abstractNumId w:val="6"/>
  </w:num>
  <w:num w:numId="2" w16cid:durableId="2086029264">
    <w:abstractNumId w:val="20"/>
  </w:num>
  <w:num w:numId="3" w16cid:durableId="1389454262">
    <w:abstractNumId w:val="13"/>
  </w:num>
  <w:num w:numId="4" w16cid:durableId="221478464">
    <w:abstractNumId w:val="7"/>
  </w:num>
  <w:num w:numId="5" w16cid:durableId="1070805034">
    <w:abstractNumId w:val="14"/>
  </w:num>
  <w:num w:numId="6" w16cid:durableId="1089305839">
    <w:abstractNumId w:val="0"/>
  </w:num>
  <w:num w:numId="7" w16cid:durableId="679084357">
    <w:abstractNumId w:val="15"/>
  </w:num>
  <w:num w:numId="8" w16cid:durableId="656424020">
    <w:abstractNumId w:val="9"/>
  </w:num>
  <w:num w:numId="9" w16cid:durableId="1931156562">
    <w:abstractNumId w:val="3"/>
  </w:num>
  <w:num w:numId="10" w16cid:durableId="451291131">
    <w:abstractNumId w:val="10"/>
  </w:num>
  <w:num w:numId="11" w16cid:durableId="53700430">
    <w:abstractNumId w:val="1"/>
  </w:num>
  <w:num w:numId="12" w16cid:durableId="1582065415">
    <w:abstractNumId w:val="16"/>
  </w:num>
  <w:num w:numId="13" w16cid:durableId="1864130221">
    <w:abstractNumId w:val="18"/>
  </w:num>
  <w:num w:numId="14" w16cid:durableId="309485984">
    <w:abstractNumId w:val="21"/>
  </w:num>
  <w:num w:numId="15" w16cid:durableId="921836905">
    <w:abstractNumId w:val="2"/>
  </w:num>
  <w:num w:numId="16" w16cid:durableId="625819885">
    <w:abstractNumId w:val="22"/>
  </w:num>
  <w:num w:numId="17" w16cid:durableId="2051034137">
    <w:abstractNumId w:val="5"/>
  </w:num>
  <w:num w:numId="18" w16cid:durableId="1809123476">
    <w:abstractNumId w:val="19"/>
  </w:num>
  <w:num w:numId="19" w16cid:durableId="2121409634">
    <w:abstractNumId w:val="11"/>
  </w:num>
  <w:num w:numId="20" w16cid:durableId="1201045073">
    <w:abstractNumId w:val="8"/>
  </w:num>
  <w:num w:numId="21" w16cid:durableId="69351919">
    <w:abstractNumId w:val="17"/>
  </w:num>
  <w:num w:numId="22" w16cid:durableId="433208113">
    <w:abstractNumId w:val="12"/>
  </w:num>
  <w:num w:numId="23" w16cid:durableId="41262869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63"/>
    <w:rsid w:val="0001630D"/>
    <w:rsid w:val="000809D8"/>
    <w:rsid w:val="00107813"/>
    <w:rsid w:val="001146F0"/>
    <w:rsid w:val="001334C4"/>
    <w:rsid w:val="00133EC3"/>
    <w:rsid w:val="001B08FD"/>
    <w:rsid w:val="002209C7"/>
    <w:rsid w:val="002331C1"/>
    <w:rsid w:val="002410C2"/>
    <w:rsid w:val="00255379"/>
    <w:rsid w:val="00284092"/>
    <w:rsid w:val="003128AE"/>
    <w:rsid w:val="003700CE"/>
    <w:rsid w:val="0039424C"/>
    <w:rsid w:val="003A4547"/>
    <w:rsid w:val="003B21E5"/>
    <w:rsid w:val="003D722A"/>
    <w:rsid w:val="003E2DF9"/>
    <w:rsid w:val="0041257B"/>
    <w:rsid w:val="0042772D"/>
    <w:rsid w:val="00456649"/>
    <w:rsid w:val="004C0E8E"/>
    <w:rsid w:val="004D2107"/>
    <w:rsid w:val="004E2552"/>
    <w:rsid w:val="005845EB"/>
    <w:rsid w:val="005A0B5B"/>
    <w:rsid w:val="00621C29"/>
    <w:rsid w:val="00652F13"/>
    <w:rsid w:val="00682EE1"/>
    <w:rsid w:val="007012CA"/>
    <w:rsid w:val="00706669"/>
    <w:rsid w:val="0076578A"/>
    <w:rsid w:val="007A4B20"/>
    <w:rsid w:val="007B01A3"/>
    <w:rsid w:val="007E0572"/>
    <w:rsid w:val="007F3310"/>
    <w:rsid w:val="00900906"/>
    <w:rsid w:val="00950F6C"/>
    <w:rsid w:val="009554E6"/>
    <w:rsid w:val="009729B1"/>
    <w:rsid w:val="00977359"/>
    <w:rsid w:val="009B767E"/>
    <w:rsid w:val="00A879DF"/>
    <w:rsid w:val="00AE673E"/>
    <w:rsid w:val="00AF1674"/>
    <w:rsid w:val="00B43DB7"/>
    <w:rsid w:val="00BD344A"/>
    <w:rsid w:val="00BD782C"/>
    <w:rsid w:val="00BF1CA8"/>
    <w:rsid w:val="00C01626"/>
    <w:rsid w:val="00C35A4F"/>
    <w:rsid w:val="00C416E1"/>
    <w:rsid w:val="00C85964"/>
    <w:rsid w:val="00CB318B"/>
    <w:rsid w:val="00CF76BE"/>
    <w:rsid w:val="00D07B7D"/>
    <w:rsid w:val="00D44C34"/>
    <w:rsid w:val="00D61343"/>
    <w:rsid w:val="00D76DE5"/>
    <w:rsid w:val="00D81563"/>
    <w:rsid w:val="00E0140C"/>
    <w:rsid w:val="00E40540"/>
    <w:rsid w:val="00E52C07"/>
    <w:rsid w:val="00E8047B"/>
    <w:rsid w:val="00EA29C5"/>
    <w:rsid w:val="00FB4F43"/>
    <w:rsid w:val="00FC1440"/>
    <w:rsid w:val="00FC555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FA538"/>
  <w15:docId w15:val="{CA279A11-AFFA-4D14-8FF4-BE183D95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2">
    <w:name w:val="heading 2"/>
    <w:basedOn w:val="Normal"/>
    <w:next w:val="Normal"/>
    <w:link w:val="Heading2Char"/>
    <w:qFormat/>
    <w:rsid w:val="00EA29C5"/>
    <w:pPr>
      <w:keepNext/>
      <w:widowControl/>
      <w:autoSpaceDE/>
      <w:autoSpaceDN/>
      <w:spacing w:before="240" w:after="60"/>
      <w:outlineLvl w:val="1"/>
    </w:pPr>
    <w:rPr>
      <w:rFonts w:ascii="Arial" w:eastAsia="MS Mincho" w:hAnsi="Arial" w:cs="Times New Roman"/>
      <w:sz w:val="3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78"/>
      <w:ind w:left="120"/>
    </w:pPr>
    <w:rPr>
      <w:b/>
      <w:bCs/>
      <w:sz w:val="24"/>
      <w:szCs w:val="24"/>
      <w:u w:val="single" w:color="000000"/>
    </w:rPr>
  </w:style>
  <w:style w:type="paragraph" w:styleId="ListParagraph">
    <w:name w:val="List Paragraph"/>
    <w:basedOn w:val="Normal"/>
    <w:link w:val="ListParagraphChar"/>
    <w:uiPriority w:val="34"/>
    <w:qFormat/>
    <w:pPr>
      <w:ind w:left="839"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D722A"/>
    <w:rPr>
      <w:sz w:val="16"/>
      <w:szCs w:val="16"/>
    </w:rPr>
  </w:style>
  <w:style w:type="paragraph" w:styleId="CommentText">
    <w:name w:val="annotation text"/>
    <w:basedOn w:val="Normal"/>
    <w:link w:val="CommentTextChar"/>
    <w:uiPriority w:val="99"/>
    <w:unhideWhenUsed/>
    <w:rsid w:val="003D722A"/>
    <w:rPr>
      <w:sz w:val="20"/>
      <w:szCs w:val="20"/>
    </w:rPr>
  </w:style>
  <w:style w:type="character" w:customStyle="1" w:styleId="CommentTextChar">
    <w:name w:val="Comment Text Char"/>
    <w:basedOn w:val="DefaultParagraphFont"/>
    <w:link w:val="CommentText"/>
    <w:uiPriority w:val="99"/>
    <w:rsid w:val="003D722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D722A"/>
    <w:rPr>
      <w:b/>
      <w:bCs/>
    </w:rPr>
  </w:style>
  <w:style w:type="character" w:customStyle="1" w:styleId="CommentSubjectChar">
    <w:name w:val="Comment Subject Char"/>
    <w:basedOn w:val="CommentTextChar"/>
    <w:link w:val="CommentSubject"/>
    <w:uiPriority w:val="99"/>
    <w:semiHidden/>
    <w:rsid w:val="003D722A"/>
    <w:rPr>
      <w:rFonts w:ascii="Calibri" w:eastAsia="Calibri" w:hAnsi="Calibri" w:cs="Calibri"/>
      <w:b/>
      <w:bCs/>
      <w:sz w:val="20"/>
      <w:szCs w:val="20"/>
    </w:rPr>
  </w:style>
  <w:style w:type="paragraph" w:styleId="Revision">
    <w:name w:val="Revision"/>
    <w:hidden/>
    <w:uiPriority w:val="99"/>
    <w:semiHidden/>
    <w:rsid w:val="003D722A"/>
    <w:pPr>
      <w:widowControl/>
      <w:autoSpaceDE/>
      <w:autoSpaceDN/>
    </w:pPr>
    <w:rPr>
      <w:rFonts w:ascii="Calibri" w:eastAsia="Calibri" w:hAnsi="Calibri" w:cs="Calibri"/>
    </w:rPr>
  </w:style>
  <w:style w:type="character" w:customStyle="1" w:styleId="Heading2Char">
    <w:name w:val="Heading 2 Char"/>
    <w:basedOn w:val="DefaultParagraphFont"/>
    <w:link w:val="Heading2"/>
    <w:rsid w:val="00EA29C5"/>
    <w:rPr>
      <w:rFonts w:ascii="Arial" w:eastAsia="MS Mincho" w:hAnsi="Arial" w:cs="Times New Roman"/>
      <w:sz w:val="36"/>
      <w:szCs w:val="20"/>
      <w:lang w:val="x-none" w:eastAsia="x-none"/>
    </w:rPr>
  </w:style>
  <w:style w:type="paragraph" w:styleId="Header">
    <w:name w:val="header"/>
    <w:basedOn w:val="Normal"/>
    <w:link w:val="HeaderChar"/>
    <w:rsid w:val="00EA29C5"/>
    <w:pPr>
      <w:widowControl/>
      <w:tabs>
        <w:tab w:val="center" w:pos="4320"/>
        <w:tab w:val="right" w:pos="8640"/>
      </w:tabs>
      <w:spacing w:line="220" w:lineRule="atLeast"/>
      <w:jc w:val="both"/>
    </w:pPr>
    <w:rPr>
      <w:rFonts w:ascii="Times" w:eastAsia="MS Mincho" w:hAnsi="Times" w:cs="Times New Roman"/>
      <w:sz w:val="28"/>
      <w:szCs w:val="28"/>
      <w:lang w:val="en-GB" w:eastAsia="x-none"/>
    </w:rPr>
  </w:style>
  <w:style w:type="character" w:customStyle="1" w:styleId="HeaderChar">
    <w:name w:val="Header Char"/>
    <w:basedOn w:val="DefaultParagraphFont"/>
    <w:link w:val="Header"/>
    <w:rsid w:val="00EA29C5"/>
    <w:rPr>
      <w:rFonts w:ascii="Times" w:eastAsia="MS Mincho" w:hAnsi="Times" w:cs="Times New Roman"/>
      <w:sz w:val="28"/>
      <w:szCs w:val="28"/>
      <w:lang w:val="en-GB" w:eastAsia="x-none"/>
    </w:rPr>
  </w:style>
  <w:style w:type="paragraph" w:styleId="NormalWeb">
    <w:name w:val="Normal (Web)"/>
    <w:basedOn w:val="Normal"/>
    <w:uiPriority w:val="99"/>
    <w:rsid w:val="00EA29C5"/>
    <w:pPr>
      <w:widowControl/>
      <w:autoSpaceDE/>
      <w:autoSpaceDN/>
      <w:spacing w:before="100" w:beforeAutospacing="1" w:after="100" w:afterAutospacing="1"/>
    </w:pPr>
    <w:rPr>
      <w:rFonts w:ascii="Times New Roman" w:eastAsia="MS Mincho" w:hAnsi="Times New Roman" w:cs="Times New Roman"/>
      <w:sz w:val="24"/>
      <w:szCs w:val="24"/>
      <w:lang w:val="en-AU"/>
    </w:rPr>
  </w:style>
  <w:style w:type="character" w:customStyle="1" w:styleId="ListMWCChar">
    <w:name w:val="List MWC Char"/>
    <w:link w:val="ListMWC"/>
    <w:locked/>
    <w:rsid w:val="00EA29C5"/>
    <w:rPr>
      <w:rFonts w:ascii="Arial" w:hAnsi="Arial" w:cs="Arial"/>
      <w:lang w:val="en-AU"/>
    </w:rPr>
  </w:style>
  <w:style w:type="paragraph" w:customStyle="1" w:styleId="ListMWC">
    <w:name w:val="List MWC"/>
    <w:basedOn w:val="Normal"/>
    <w:link w:val="ListMWCChar"/>
    <w:qFormat/>
    <w:rsid w:val="00EA29C5"/>
    <w:pPr>
      <w:widowControl/>
      <w:numPr>
        <w:numId w:val="3"/>
      </w:numPr>
      <w:autoSpaceDE/>
      <w:autoSpaceDN/>
    </w:pPr>
    <w:rPr>
      <w:rFonts w:ascii="Arial" w:eastAsiaTheme="minorHAnsi" w:hAnsi="Arial" w:cs="Arial"/>
      <w:lang w:val="en-AU"/>
    </w:rPr>
  </w:style>
  <w:style w:type="character" w:customStyle="1" w:styleId="ListParagraphChar">
    <w:name w:val="List Paragraph Char"/>
    <w:link w:val="ListParagraph"/>
    <w:uiPriority w:val="34"/>
    <w:rsid w:val="00EA29C5"/>
    <w:rPr>
      <w:rFonts w:ascii="Calibri" w:eastAsia="Calibri" w:hAnsi="Calibri" w:cs="Calibri"/>
    </w:rPr>
  </w:style>
  <w:style w:type="table" w:customStyle="1" w:styleId="TableGrid1">
    <w:name w:val="Table Grid1"/>
    <w:basedOn w:val="TableNormal"/>
    <w:next w:val="TableGrid"/>
    <w:uiPriority w:val="39"/>
    <w:rsid w:val="00EA29C5"/>
    <w:pPr>
      <w:widowControl/>
      <w:autoSpaceDE/>
      <w:autoSpaceDN/>
    </w:pPr>
    <w:rPr>
      <w:rFonts w:ascii="Century Gothic" w:eastAsia="Century Gothic" w:hAnsi="Century Gothic" w:cs="Times New Roman"/>
      <w:sz w:val="24"/>
      <w:szCs w:val="24"/>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EA29C5"/>
    <w:pPr>
      <w:widowControl/>
      <w:autoSpaceDE/>
      <w:autoSpaceDN/>
    </w:pPr>
    <w:rPr>
      <w:rFonts w:ascii="Calibri" w:eastAsia="SimSun" w:hAnsi="Calibri" w:cs="Times New Roman"/>
      <w:sz w:val="24"/>
      <w:szCs w:val="24"/>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A2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A29C5"/>
    <w:pPr>
      <w:tabs>
        <w:tab w:val="center" w:pos="4513"/>
        <w:tab w:val="right" w:pos="9026"/>
      </w:tabs>
    </w:pPr>
  </w:style>
  <w:style w:type="character" w:customStyle="1" w:styleId="FooterChar">
    <w:name w:val="Footer Char"/>
    <w:basedOn w:val="DefaultParagraphFont"/>
    <w:link w:val="Footer"/>
    <w:uiPriority w:val="99"/>
    <w:rsid w:val="00EA29C5"/>
    <w:rPr>
      <w:rFonts w:ascii="Calibri" w:eastAsia="Calibri" w:hAnsi="Calibri" w:cs="Calibri"/>
    </w:rPr>
  </w:style>
  <w:style w:type="character" w:styleId="Hyperlink">
    <w:name w:val="Hyperlink"/>
    <w:uiPriority w:val="99"/>
    <w:rsid w:val="00E0140C"/>
    <w:rPr>
      <w:color w:val="0000FF"/>
      <w:u w:val="single"/>
    </w:rPr>
  </w:style>
  <w:style w:type="character" w:styleId="UnresolvedMention">
    <w:name w:val="Unresolved Mention"/>
    <w:basedOn w:val="DefaultParagraphFont"/>
    <w:uiPriority w:val="99"/>
    <w:semiHidden/>
    <w:unhideWhenUsed/>
    <w:rsid w:val="00BD344A"/>
    <w:rPr>
      <w:color w:val="605E5C"/>
      <w:shd w:val="clear" w:color="auto" w:fill="E1DFDD"/>
    </w:rPr>
  </w:style>
  <w:style w:type="character" w:styleId="PageNumber">
    <w:name w:val="page number"/>
    <w:basedOn w:val="DefaultParagraphFont"/>
    <w:uiPriority w:val="99"/>
    <w:semiHidden/>
    <w:unhideWhenUsed/>
    <w:rsid w:val="00682EE1"/>
  </w:style>
  <w:style w:type="character" w:styleId="FollowedHyperlink">
    <w:name w:val="FollowedHyperlink"/>
    <w:basedOn w:val="DefaultParagraphFont"/>
    <w:uiPriority w:val="99"/>
    <w:semiHidden/>
    <w:unhideWhenUsed/>
    <w:rsid w:val="009729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auricewilkinscentre.org/welcome/mwc-m%C4%81ori-data-sovereignty-commitment-statement/"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uricewilkinscentre.org/sub-pages/pacific-health/mwc-pacific-strategy/"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uricewilkinscentre.org/welcome/mwc-m%C4%81ori-engagement-strateg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ED05399BFF6C43BADF21AC2E7AEB09" ma:contentTypeVersion="21" ma:contentTypeDescription="Create a new document." ma:contentTypeScope="" ma:versionID="2237be733a7bcfd5ce25585eaf74f745">
  <xsd:schema xmlns:xsd="http://www.w3.org/2001/XMLSchema" xmlns:xs="http://www.w3.org/2001/XMLSchema" xmlns:p="http://schemas.microsoft.com/office/2006/metadata/properties" xmlns:ns2="61bbba5b-7877-4b4e-8415-6d50e2f54085" xmlns:ns3="d800a5cf-5799-495b-9b49-f15f7ad25ed9" xmlns:ns4="4f76d66a-7560-40c2-b958-4750337b5d4b" targetNamespace="http://schemas.microsoft.com/office/2006/metadata/properties" ma:root="true" ma:fieldsID="89df9c5d535ff3a91cbde155df64f627" ns2:_="" ns3:_="" ns4:_="">
    <xsd:import namespace="61bbba5b-7877-4b4e-8415-6d50e2f54085"/>
    <xsd:import namespace="d800a5cf-5799-495b-9b49-f15f7ad25ed9"/>
    <xsd:import namespace="4f76d66a-7560-40c2-b958-4750337b5d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bba5b-7877-4b4e-8415-6d50e2f54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9cd7a-283a-407b-9b45-84d2c205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0a5cf-5799-495b-9b49-f15f7ad25e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9c4f7f-8348-45ba-8bde-2199382227c3}" ma:internalName="TaxCatchAll" ma:showField="CatchAllData" ma:web="4f76d66a-7560-40c2-b958-4750337b5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6d66a-7560-40c2-b958-4750337b5d4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Props1.xml><?xml version="1.0" encoding="utf-8"?>
<ds:datastoreItem xmlns:ds="http://schemas.openxmlformats.org/officeDocument/2006/customXml" ds:itemID="{E1E9D2BD-3219-4FB1-8B22-0FC2A092FD81}">
  <ds:schemaRefs>
    <ds:schemaRef ds:uri="http://schemas.openxmlformats.org/officeDocument/2006/bibliography"/>
  </ds:schemaRefs>
</ds:datastoreItem>
</file>

<file path=customXml/itemProps2.xml><?xml version="1.0" encoding="utf-8"?>
<ds:datastoreItem xmlns:ds="http://schemas.openxmlformats.org/officeDocument/2006/customXml" ds:itemID="{4A3CCCBC-84FE-4507-958C-A764EDF3DCF9}"/>
</file>

<file path=customXml/itemProps3.xml><?xml version="1.0" encoding="utf-8"?>
<ds:datastoreItem xmlns:ds="http://schemas.openxmlformats.org/officeDocument/2006/customXml" ds:itemID="{1F011D59-ABB3-4056-8FCD-27BEFA8535BE}"/>
</file>

<file path=customXml/itemProps4.xml><?xml version="1.0" encoding="utf-8"?>
<ds:datastoreItem xmlns:ds="http://schemas.openxmlformats.org/officeDocument/2006/customXml" ds:itemID="{E556498F-2ACE-4B4C-9C03-293FC8580CA8}"/>
</file>

<file path=docMetadata/LabelInfo.xml><?xml version="1.0" encoding="utf-8"?>
<clbl:labelList xmlns:clbl="http://schemas.microsoft.com/office/2020/mipLabelMetadata">
  <clbl:label id="{b75eb9d1-7479-4f8a-9240-cc5b19dbbc64}" enabled="1" method="Standard" siteId="{d1b36e95-0d50-42e9-958f-b63fa906beaa}" removed="0"/>
</clbl:labelList>
</file>

<file path=docProps/app.xml><?xml version="1.0" encoding="utf-8"?>
<Properties xmlns="http://schemas.openxmlformats.org/officeDocument/2006/extended-properties" xmlns:vt="http://schemas.openxmlformats.org/officeDocument/2006/docPropsVTypes">
  <Template>Normal.dotm</Template>
  <TotalTime>80</TotalTime>
  <Pages>19</Pages>
  <Words>5543</Words>
  <Characters>35309</Characters>
  <Application>Microsoft Office Word</Application>
  <DocSecurity>0</DocSecurity>
  <Lines>1961</Lines>
  <Paragraphs>1237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Grattan</dc:creator>
  <dc:description/>
  <cp:lastModifiedBy>Sally McCormick</cp:lastModifiedBy>
  <cp:revision>26</cp:revision>
  <dcterms:created xsi:type="dcterms:W3CDTF">2026-09-29T22:34:00Z</dcterms:created>
  <dcterms:modified xsi:type="dcterms:W3CDTF">2026-10-08T03:01:00Z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2025-10-16T00:00:00Z</vt:filetime>
  </property>
  <property fmtid="{D5CDD505-2E9C-101B-9397-08002B2CF9AE}" pid="3" name="Creator">
    <vt:lpwstr>Acrobat PDFMaker 23 for Word</vt:lpwstr>
  </property>
  <property fmtid="{D5CDD505-2E9C-101B-9397-08002B2CF9AE}" pid="4" name="GrammarlyDocumentId">
    <vt:lpwstr>4fd7cc16-d65e-4d14-9675-d651ac6474f9</vt:lpwstr>
  </property>
  <property fmtid="{D5CDD505-2E9C-101B-9397-08002B2CF9AE}" pid="5" name="LastSaved">
    <vt:filetime>2026-09-14T00:00:00Z</vt:filetime>
  </property>
  <property fmtid="{D5CDD505-2E9C-101B-9397-08002B2CF9AE}" pid="6" name="Producer">
    <vt:lpwstr>Adobe PDF Library 23.3.60</vt:lpwstr>
  </property>
  <property fmtid="{D5CDD505-2E9C-101B-9397-08002B2CF9AE}" pid="7" name="SourceModified">
    <vt:lpwstr>D:20251016042936</vt:lpwstr>
  </property>
  <property fmtid="{D5CDD505-2E9C-101B-9397-08002B2CF9AE}" pid="8" name="MSIP_Label_d199c939-b151-4941-af2c-952de9755475_Enabled">
    <vt:lpwstr>true</vt:lpwstr>
  </property>
  <property fmtid="{D5CDD505-2E9C-101B-9397-08002B2CF9AE}" pid="9" name="MSIP_Label_d199c939-b151-4941-af2c-952de9755475_SetDate">
    <vt:lpwstr>2026-09-16T12:36:06Z</vt:lpwstr>
  </property>
  <property fmtid="{D5CDD505-2E9C-101B-9397-08002B2CF9AE}" pid="10" name="MSIP_Label_d199c939-b151-4941-af2c-952de9755475_Method">
    <vt:lpwstr>Standard</vt:lpwstr>
  </property>
  <property fmtid="{D5CDD505-2E9C-101B-9397-08002B2CF9AE}" pid="11" name="MSIP_Label_d199c939-b151-4941-af2c-952de9755475_Name">
    <vt:lpwstr>Unlabelled Sensitivity</vt:lpwstr>
  </property>
  <property fmtid="{D5CDD505-2E9C-101B-9397-08002B2CF9AE}" pid="12" name="MSIP_Label_d199c939-b151-4941-af2c-952de9755475_SiteId">
    <vt:lpwstr>0225efc5-78fe-4928-b157-9ef24809e9ba</vt:lpwstr>
  </property>
  <property fmtid="{D5CDD505-2E9C-101B-9397-08002B2CF9AE}" pid="13" name="MSIP_Label_d199c939-b151-4941-af2c-952de9755475_ActionId">
    <vt:lpwstr>571735f4-56ba-40bb-a349-6f2e72aff6d8</vt:lpwstr>
  </property>
  <property fmtid="{D5CDD505-2E9C-101B-9397-08002B2CF9AE}" pid="14" name="MSIP_Label_d199c939-b151-4941-af2c-952de9755475_ContentBits">
    <vt:lpwstr>0</vt:lpwstr>
  </property>
  <property fmtid="{D5CDD505-2E9C-101B-9397-08002B2CF9AE}" pid="15" name="MSIP_Label_d199c939-b151-4941-af2c-952de9755475_Tag">
    <vt:lpwstr>50, 3, 0, 1</vt:lpwstr>
  </property>
  <property fmtid="{D5CDD505-2E9C-101B-9397-08002B2CF9AE}" pid="16" name="ContentTypeId">
    <vt:lpwstr>0x0101007CED05399BFF6C43BADF21AC2E7AEB09</vt:lpwstr>
  </property>
</Properties>
</file>