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78558" w14:textId="77777777" w:rsidR="00B43E8B" w:rsidRDefault="00601CC3" w:rsidP="00601CC3">
      <w:pPr>
        <w:jc w:val="right"/>
      </w:pPr>
      <w:r>
        <w:rPr>
          <w:noProof/>
          <w:lang w:val="en-NZ" w:eastAsia="en-NZ"/>
        </w:rPr>
        <w:drawing>
          <wp:anchor distT="0" distB="0" distL="114300" distR="114300" simplePos="0" relativeHeight="251658240" behindDoc="1" locked="0" layoutInCell="1" allowOverlap="1" wp14:anchorId="191850DC" wp14:editId="767D2D64">
            <wp:simplePos x="0" y="0"/>
            <wp:positionH relativeFrom="margin">
              <wp:align>center</wp:align>
            </wp:positionH>
            <wp:positionV relativeFrom="paragraph">
              <wp:posOffset>-226261</wp:posOffset>
            </wp:positionV>
            <wp:extent cx="1342238" cy="680324"/>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horiz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2238" cy="680324"/>
                    </a:xfrm>
                    <a:prstGeom prst="rect">
                      <a:avLst/>
                    </a:prstGeom>
                  </pic:spPr>
                </pic:pic>
              </a:graphicData>
            </a:graphic>
            <wp14:sizeRelH relativeFrom="page">
              <wp14:pctWidth>0</wp14:pctWidth>
            </wp14:sizeRelH>
            <wp14:sizeRelV relativeFrom="page">
              <wp14:pctHeight>0</wp14:pctHeight>
            </wp14:sizeRelV>
          </wp:anchor>
        </w:drawing>
      </w:r>
    </w:p>
    <w:p w14:paraId="4FC35689" w14:textId="77777777" w:rsidR="00601CC3" w:rsidRDefault="00601CC3"/>
    <w:p w14:paraId="6E0518A2" w14:textId="77777777" w:rsidR="000815F4" w:rsidRDefault="000815F4">
      <w:pPr>
        <w:rPr>
          <w:sz w:val="22"/>
          <w:szCs w:val="22"/>
        </w:rPr>
      </w:pPr>
    </w:p>
    <w:p w14:paraId="548EDE16" w14:textId="77777777" w:rsidR="00AD539B" w:rsidRPr="00B7238B" w:rsidRDefault="00AD539B">
      <w:pPr>
        <w:rPr>
          <w:rFonts w:asciiTheme="minorHAnsi" w:hAnsiTheme="minorHAnsi" w:cstheme="minorHAnsi"/>
          <w:sz w:val="23"/>
          <w:szCs w:val="23"/>
        </w:rPr>
      </w:pPr>
    </w:p>
    <w:p w14:paraId="7C6647CA" w14:textId="6AA22BE9" w:rsidR="00BE00F2" w:rsidRPr="006F1A01" w:rsidRDefault="00F3024D" w:rsidP="00BE00F2">
      <w:pPr>
        <w:jc w:val="both"/>
        <w:rPr>
          <w:rFonts w:asciiTheme="minorHAnsi" w:hAnsiTheme="minorHAnsi" w:cstheme="minorHAnsi"/>
        </w:rPr>
      </w:pPr>
      <w:r>
        <w:rPr>
          <w:rFonts w:asciiTheme="minorHAnsi" w:hAnsiTheme="minorHAnsi" w:cstheme="minorHAnsi"/>
        </w:rPr>
        <w:t>[DATE]</w:t>
      </w:r>
      <w:r w:rsidR="00BE00F2" w:rsidRPr="006F1A01">
        <w:rPr>
          <w:rFonts w:asciiTheme="minorHAnsi" w:hAnsiTheme="minorHAnsi" w:cstheme="minorHAnsi"/>
        </w:rPr>
        <w:tab/>
      </w:r>
      <w:r>
        <w:rPr>
          <w:rFonts w:asciiTheme="minorHAnsi" w:hAnsiTheme="minorHAnsi" w:cstheme="minorHAnsi"/>
        </w:rPr>
        <w:tab/>
      </w:r>
      <w:r w:rsidR="00BE00F2" w:rsidRPr="006F1A01">
        <w:rPr>
          <w:rFonts w:asciiTheme="minorHAnsi" w:hAnsiTheme="minorHAnsi" w:cstheme="minorHAnsi"/>
        </w:rPr>
        <w:tab/>
      </w:r>
      <w:r w:rsidR="00BE00F2" w:rsidRPr="006F1A01">
        <w:rPr>
          <w:rFonts w:asciiTheme="minorHAnsi" w:hAnsiTheme="minorHAnsi" w:cstheme="minorHAnsi"/>
        </w:rPr>
        <w:tab/>
      </w:r>
      <w:r w:rsidR="00BE00F2" w:rsidRPr="006F1A01">
        <w:rPr>
          <w:rFonts w:asciiTheme="minorHAnsi" w:hAnsiTheme="minorHAnsi" w:cstheme="minorHAnsi"/>
        </w:rPr>
        <w:tab/>
      </w:r>
      <w:r w:rsidR="00BE00F2" w:rsidRPr="006F1A01">
        <w:rPr>
          <w:rFonts w:asciiTheme="minorHAnsi" w:hAnsiTheme="minorHAnsi" w:cstheme="minorHAnsi"/>
          <w:b/>
        </w:rPr>
        <w:t xml:space="preserve">              </w:t>
      </w:r>
      <w:r w:rsidR="00BE00F2" w:rsidRPr="006F1A01">
        <w:rPr>
          <w:rFonts w:asciiTheme="minorHAnsi" w:hAnsiTheme="minorHAnsi" w:cstheme="minorHAnsi"/>
          <w:b/>
        </w:rPr>
        <w:tab/>
      </w:r>
      <w:r w:rsidR="00BE00F2" w:rsidRPr="006F1A01">
        <w:rPr>
          <w:rFonts w:asciiTheme="minorHAnsi" w:hAnsiTheme="minorHAnsi" w:cstheme="minorHAnsi"/>
        </w:rPr>
        <w:t xml:space="preserve">Student ID: </w:t>
      </w:r>
      <w:r w:rsidR="00BE00F2" w:rsidRPr="006F1A01">
        <w:rPr>
          <w:rFonts w:asciiTheme="minorHAnsi" w:hAnsiTheme="minorHAnsi" w:cstheme="minorHAnsi"/>
        </w:rPr>
        <w:tab/>
      </w:r>
    </w:p>
    <w:p w14:paraId="7ADD1899" w14:textId="77777777" w:rsidR="00BE00F2" w:rsidRPr="006F1A01" w:rsidRDefault="00BE00F2" w:rsidP="00BE00F2">
      <w:pPr>
        <w:rPr>
          <w:rFonts w:asciiTheme="minorHAnsi" w:hAnsiTheme="minorHAnsi" w:cstheme="minorHAnsi"/>
        </w:rPr>
      </w:pPr>
    </w:p>
    <w:p w14:paraId="0F05AE7B" w14:textId="77777777" w:rsidR="00BE00F2" w:rsidRPr="006F1A01" w:rsidRDefault="00BE00F2" w:rsidP="00BE00F2">
      <w:pPr>
        <w:rPr>
          <w:rFonts w:asciiTheme="minorHAnsi" w:hAnsiTheme="minorHAnsi" w:cstheme="minorHAnsi"/>
        </w:rPr>
      </w:pPr>
    </w:p>
    <w:p w14:paraId="628AF7E0" w14:textId="2575B14E" w:rsidR="00BE00F2" w:rsidRPr="006F1A01" w:rsidRDefault="00BE00F2" w:rsidP="00BE00F2">
      <w:pPr>
        <w:rPr>
          <w:rFonts w:asciiTheme="minorHAnsi" w:hAnsiTheme="minorHAnsi" w:cstheme="minorHAnsi"/>
          <w:b/>
        </w:rPr>
      </w:pPr>
      <w:r w:rsidRPr="006F1A01">
        <w:rPr>
          <w:rFonts w:asciiTheme="minorHAnsi" w:hAnsiTheme="minorHAnsi" w:cstheme="minorHAnsi"/>
          <w:b/>
        </w:rPr>
        <w:t>PERSONAL &amp; CONFIDENTIAL</w:t>
      </w:r>
    </w:p>
    <w:p w14:paraId="085441F1" w14:textId="77777777" w:rsidR="00BE00F2" w:rsidRPr="006F1A01" w:rsidRDefault="00BE00F2" w:rsidP="00BE00F2">
      <w:pPr>
        <w:rPr>
          <w:rFonts w:asciiTheme="minorHAnsi" w:hAnsiTheme="minorHAnsi" w:cstheme="minorHAnsi"/>
          <w:b/>
        </w:rPr>
      </w:pPr>
    </w:p>
    <w:p w14:paraId="2CFF354C" w14:textId="69ACCCC7" w:rsidR="00BE00F2" w:rsidRDefault="00BE00F2" w:rsidP="00BE00F2">
      <w:pPr>
        <w:rPr>
          <w:rFonts w:asciiTheme="minorHAnsi" w:hAnsiTheme="minorHAnsi" w:cstheme="minorHAnsi"/>
        </w:rPr>
      </w:pPr>
      <w:bookmarkStart w:id="0" w:name="_Hlk64271705"/>
      <w:r>
        <w:rPr>
          <w:rFonts w:asciiTheme="minorHAnsi" w:hAnsiTheme="minorHAnsi" w:cstheme="minorHAnsi"/>
        </w:rPr>
        <w:t>[Full name in eVision]</w:t>
      </w:r>
    </w:p>
    <w:p w14:paraId="77EB349A" w14:textId="5199551F" w:rsidR="00BE00F2" w:rsidRPr="006F1A01" w:rsidRDefault="00BE00F2" w:rsidP="00BE00F2">
      <w:pPr>
        <w:rPr>
          <w:rFonts w:asciiTheme="minorHAnsi" w:hAnsiTheme="minorHAnsi" w:cstheme="minorHAnsi"/>
        </w:rPr>
      </w:pPr>
      <w:r w:rsidRPr="006F1A01">
        <w:rPr>
          <w:rFonts w:asciiTheme="minorHAnsi" w:hAnsiTheme="minorHAnsi" w:cstheme="minorHAnsi"/>
        </w:rPr>
        <w:t xml:space="preserve">Email: </w:t>
      </w:r>
      <w:r w:rsidRPr="006F1A01">
        <w:rPr>
          <w:rFonts w:asciiTheme="minorHAnsi" w:hAnsiTheme="minorHAnsi" w:cstheme="minorHAnsi"/>
        </w:rPr>
        <w:tab/>
      </w:r>
      <w:r>
        <w:rPr>
          <w:rFonts w:asciiTheme="minorHAnsi" w:hAnsiTheme="minorHAnsi" w:cstheme="minorHAnsi"/>
        </w:rPr>
        <w:t>[student email address]</w:t>
      </w:r>
    </w:p>
    <w:bookmarkEnd w:id="0"/>
    <w:p w14:paraId="154DDDB3" w14:textId="77777777" w:rsidR="00BE00F2" w:rsidRPr="006F1A01" w:rsidRDefault="00BE00F2" w:rsidP="00BE00F2">
      <w:pPr>
        <w:rPr>
          <w:rFonts w:asciiTheme="minorHAnsi" w:hAnsiTheme="minorHAnsi" w:cstheme="minorHAnsi"/>
        </w:rPr>
      </w:pPr>
    </w:p>
    <w:p w14:paraId="673EE947" w14:textId="77777777" w:rsidR="00BE00F2" w:rsidRPr="006F1A01" w:rsidRDefault="00BE00F2" w:rsidP="00BE00F2">
      <w:pPr>
        <w:rPr>
          <w:rFonts w:asciiTheme="minorHAnsi" w:hAnsiTheme="minorHAnsi" w:cstheme="minorHAnsi"/>
          <w:b/>
        </w:rPr>
      </w:pPr>
      <w:r w:rsidRPr="006F1A01">
        <w:rPr>
          <w:rFonts w:asciiTheme="minorHAnsi" w:hAnsiTheme="minorHAnsi" w:cstheme="minorHAnsi"/>
          <w:b/>
        </w:rPr>
        <w:t>By email</w:t>
      </w:r>
    </w:p>
    <w:p w14:paraId="73882D0B" w14:textId="77777777" w:rsidR="00BE00F2" w:rsidRPr="006F1A01" w:rsidRDefault="00BE00F2" w:rsidP="00BE00F2">
      <w:pPr>
        <w:rPr>
          <w:rFonts w:asciiTheme="minorHAnsi" w:hAnsiTheme="minorHAnsi" w:cstheme="minorHAnsi"/>
        </w:rPr>
      </w:pPr>
    </w:p>
    <w:p w14:paraId="4A35008C" w14:textId="77777777" w:rsidR="00BE00F2" w:rsidRPr="006F1A01" w:rsidRDefault="00BE00F2" w:rsidP="00BE00F2">
      <w:pPr>
        <w:rPr>
          <w:rFonts w:asciiTheme="minorHAnsi" w:hAnsiTheme="minorHAnsi" w:cstheme="minorHAnsi"/>
        </w:rPr>
      </w:pPr>
      <w:r w:rsidRPr="006F1A01">
        <w:rPr>
          <w:rFonts w:asciiTheme="minorHAnsi" w:hAnsiTheme="minorHAnsi" w:cstheme="minorHAnsi"/>
        </w:rPr>
        <w:t>Dear [NAME]</w:t>
      </w:r>
    </w:p>
    <w:p w14:paraId="7D4F0359" w14:textId="77777777" w:rsidR="00AB765B" w:rsidRPr="00925674" w:rsidRDefault="00AB765B" w:rsidP="003D435F">
      <w:pPr>
        <w:rPr>
          <w:rFonts w:asciiTheme="minorHAnsi" w:hAnsiTheme="minorHAnsi" w:cstheme="minorHAnsi"/>
        </w:rPr>
      </w:pPr>
    </w:p>
    <w:p w14:paraId="520D2EA3" w14:textId="2E0B452B" w:rsidR="00020706" w:rsidRPr="00925674" w:rsidRDefault="00B03790" w:rsidP="00020706">
      <w:pPr>
        <w:rPr>
          <w:rFonts w:asciiTheme="minorHAnsi" w:hAnsiTheme="minorHAnsi" w:cstheme="minorHAnsi"/>
        </w:rPr>
      </w:pPr>
      <w:r w:rsidRPr="00925674">
        <w:rPr>
          <w:rFonts w:asciiTheme="minorHAnsi" w:hAnsiTheme="minorHAnsi" w:cstheme="minorHAnsi"/>
        </w:rPr>
        <w:t xml:space="preserve">The purpose of this letter is to inform you that there is concern regarding possible academic misconduct in an assessment you submitted for [PAPER].  The nature of the concern is [then list the actual concern </w:t>
      </w:r>
      <w:proofErr w:type="gramStart"/>
      <w:r w:rsidRPr="00925674">
        <w:rPr>
          <w:rFonts w:asciiTheme="minorHAnsi" w:hAnsiTheme="minorHAnsi" w:cstheme="minorHAnsi"/>
        </w:rPr>
        <w:t>e.g.</w:t>
      </w:r>
      <w:proofErr w:type="gramEnd"/>
      <w:r w:rsidRPr="00925674">
        <w:rPr>
          <w:rFonts w:asciiTheme="minorHAnsi" w:hAnsiTheme="minorHAnsi" w:cstheme="minorHAnsi"/>
        </w:rPr>
        <w:t xml:space="preserve"> referencing / plagiarism / presenting work that may not be your own / using unauthorised materials …]</w:t>
      </w:r>
    </w:p>
    <w:p w14:paraId="01693F8B" w14:textId="77777777" w:rsidR="00B03790" w:rsidRPr="00925674" w:rsidRDefault="00B03790" w:rsidP="00020706">
      <w:pPr>
        <w:rPr>
          <w:rFonts w:asciiTheme="minorHAnsi" w:hAnsiTheme="minorHAnsi" w:cstheme="minorHAnsi"/>
        </w:rPr>
      </w:pPr>
    </w:p>
    <w:p w14:paraId="5EC2FB07" w14:textId="01CE2EA2" w:rsidR="00A6045C" w:rsidRPr="00925674" w:rsidRDefault="00A6045C" w:rsidP="00A6045C">
      <w:pPr>
        <w:rPr>
          <w:rFonts w:asciiTheme="minorHAnsi" w:hAnsiTheme="minorHAnsi" w:cstheme="minorHAnsi"/>
        </w:rPr>
      </w:pPr>
      <w:r w:rsidRPr="00925674">
        <w:rPr>
          <w:rFonts w:asciiTheme="minorHAnsi" w:hAnsiTheme="minorHAnsi" w:cstheme="minorHAnsi"/>
        </w:rPr>
        <w:t xml:space="preserve">This alleged misconduct is provisionally determined to be at Level 1 as defined in the </w:t>
      </w:r>
      <w:r w:rsidR="00706E76" w:rsidRPr="00925674">
        <w:rPr>
          <w:rFonts w:asciiTheme="minorHAnsi" w:hAnsiTheme="minorHAnsi" w:cstheme="minorHAnsi"/>
        </w:rPr>
        <w:t xml:space="preserve">University’s </w:t>
      </w:r>
      <w:r w:rsidRPr="00925674">
        <w:rPr>
          <w:rFonts w:asciiTheme="minorHAnsi" w:hAnsiTheme="minorHAnsi" w:cstheme="minorHAnsi"/>
          <w:i/>
        </w:rPr>
        <w:t>Student Academic Misconduct Procedures</w:t>
      </w:r>
      <w:r w:rsidR="004022C2" w:rsidRPr="00925674">
        <w:rPr>
          <w:rFonts w:asciiTheme="minorHAnsi" w:hAnsiTheme="minorHAnsi" w:cstheme="minorHAnsi"/>
        </w:rPr>
        <w:t>:</w:t>
      </w:r>
      <w:r w:rsidRPr="00925674">
        <w:rPr>
          <w:rFonts w:asciiTheme="minorHAnsi" w:hAnsiTheme="minorHAnsi" w:cstheme="minorHAnsi"/>
        </w:rPr>
        <w:t xml:space="preserve"> </w:t>
      </w:r>
      <w:r w:rsidR="0095019E">
        <w:rPr>
          <w:rFonts w:asciiTheme="minorHAnsi" w:hAnsiTheme="minorHAnsi" w:cstheme="minorHAnsi"/>
        </w:rPr>
        <w:t>“</w:t>
      </w:r>
      <w:r w:rsidRPr="00925674">
        <w:rPr>
          <w:rFonts w:asciiTheme="minorHAnsi" w:hAnsiTheme="minorHAnsi" w:cstheme="minorHAnsi"/>
        </w:rPr>
        <w:t xml:space="preserve">a first instance of academic misconduct where the student’s actions may be regarded as </w:t>
      </w:r>
      <w:proofErr w:type="gramStart"/>
      <w:r w:rsidR="004022C2" w:rsidRPr="00925674">
        <w:rPr>
          <w:rFonts w:asciiTheme="minorHAnsi" w:hAnsiTheme="minorHAnsi" w:cstheme="minorHAnsi"/>
        </w:rPr>
        <w:t xml:space="preserve">unintentional </w:t>
      </w:r>
      <w:r w:rsidR="004E440E">
        <w:rPr>
          <w:rFonts w:asciiTheme="minorHAnsi" w:hAnsiTheme="minorHAnsi" w:cstheme="minorHAnsi"/>
        </w:rPr>
        <w:t xml:space="preserve"> </w:t>
      </w:r>
      <w:r w:rsidR="004022C2" w:rsidRPr="00925674">
        <w:rPr>
          <w:rFonts w:asciiTheme="minorHAnsi" w:hAnsiTheme="minorHAnsi" w:cstheme="minorHAnsi"/>
        </w:rPr>
        <w:t>or</w:t>
      </w:r>
      <w:proofErr w:type="gramEnd"/>
      <w:r w:rsidR="004022C2" w:rsidRPr="00925674">
        <w:rPr>
          <w:rFonts w:asciiTheme="minorHAnsi" w:hAnsiTheme="minorHAnsi" w:cstheme="minorHAnsi"/>
        </w:rPr>
        <w:t xml:space="preserve"> naïve and contributed to by a lack of understanding of acceptable academic practice</w:t>
      </w:r>
      <w:r w:rsidR="0095019E">
        <w:rPr>
          <w:rFonts w:asciiTheme="minorHAnsi" w:hAnsiTheme="minorHAnsi" w:cstheme="minorHAnsi"/>
        </w:rPr>
        <w:t>.”</w:t>
      </w:r>
      <w:r w:rsidR="004022C2" w:rsidRPr="00925674">
        <w:rPr>
          <w:rFonts w:asciiTheme="minorHAnsi" w:hAnsiTheme="minorHAnsi" w:cstheme="minorHAnsi"/>
        </w:rPr>
        <w:t xml:space="preserve">  </w:t>
      </w:r>
    </w:p>
    <w:p w14:paraId="7925373F" w14:textId="77777777" w:rsidR="00A6045C" w:rsidRPr="00925674" w:rsidRDefault="00A6045C" w:rsidP="00020706">
      <w:pPr>
        <w:rPr>
          <w:rFonts w:asciiTheme="minorHAnsi" w:hAnsiTheme="minorHAnsi" w:cstheme="minorHAnsi"/>
        </w:rPr>
      </w:pPr>
    </w:p>
    <w:p w14:paraId="68F31D0E" w14:textId="435FD946" w:rsidR="00403915" w:rsidRPr="00925674" w:rsidRDefault="00B7238B" w:rsidP="00020706">
      <w:pPr>
        <w:rPr>
          <w:rFonts w:asciiTheme="minorHAnsi" w:hAnsiTheme="minorHAnsi" w:cstheme="minorHAnsi"/>
        </w:rPr>
      </w:pPr>
      <w:bookmarkStart w:id="1" w:name="_Hlk62824837"/>
      <w:r w:rsidRPr="00925674">
        <w:rPr>
          <w:rFonts w:asciiTheme="minorHAnsi" w:hAnsiTheme="minorHAnsi" w:cstheme="minorHAnsi"/>
        </w:rPr>
        <w:t xml:space="preserve">No decisions have yet been made regarding this allegation. </w:t>
      </w:r>
      <w:r w:rsidR="00403915" w:rsidRPr="00925674">
        <w:rPr>
          <w:rFonts w:asciiTheme="minorHAnsi" w:hAnsiTheme="minorHAnsi" w:cstheme="minorHAnsi"/>
        </w:rPr>
        <w:t xml:space="preserve">The process followed under </w:t>
      </w:r>
      <w:proofErr w:type="gramStart"/>
      <w:r w:rsidR="00403915" w:rsidRPr="00925674">
        <w:rPr>
          <w:rFonts w:asciiTheme="minorHAnsi" w:hAnsiTheme="minorHAnsi" w:cstheme="minorHAnsi"/>
        </w:rPr>
        <w:t>University</w:t>
      </w:r>
      <w:proofErr w:type="gramEnd"/>
      <w:r w:rsidR="00403915" w:rsidRPr="00925674">
        <w:rPr>
          <w:rFonts w:asciiTheme="minorHAnsi" w:hAnsiTheme="minorHAnsi" w:cstheme="minorHAnsi"/>
        </w:rPr>
        <w:t xml:space="preserve"> policy is designed to ensure you have a full and fair opportunity to respond before any conclusions are reached.</w:t>
      </w:r>
    </w:p>
    <w:bookmarkEnd w:id="1"/>
    <w:p w14:paraId="3058E7CD" w14:textId="77777777" w:rsidR="00403915" w:rsidRPr="00925674" w:rsidRDefault="00403915" w:rsidP="00020706">
      <w:pPr>
        <w:rPr>
          <w:rFonts w:asciiTheme="minorHAnsi" w:hAnsiTheme="minorHAnsi" w:cstheme="minorHAnsi"/>
        </w:rPr>
      </w:pPr>
    </w:p>
    <w:p w14:paraId="399C5272" w14:textId="6ED98ACB" w:rsidR="00280F45" w:rsidRPr="00925674" w:rsidRDefault="00140652" w:rsidP="00020706">
      <w:pPr>
        <w:rPr>
          <w:rFonts w:asciiTheme="minorHAnsi" w:hAnsiTheme="minorHAnsi" w:cstheme="minorHAnsi"/>
        </w:rPr>
      </w:pPr>
      <w:r w:rsidRPr="00925674">
        <w:rPr>
          <w:rFonts w:asciiTheme="minorHAnsi" w:hAnsiTheme="minorHAnsi" w:cstheme="minorHAnsi"/>
        </w:rPr>
        <w:t xml:space="preserve">To give you the opportunity </w:t>
      </w:r>
      <w:r w:rsidR="004022C2" w:rsidRPr="00925674">
        <w:rPr>
          <w:rFonts w:asciiTheme="minorHAnsi" w:hAnsiTheme="minorHAnsi" w:cstheme="minorHAnsi"/>
        </w:rPr>
        <w:t>to</w:t>
      </w:r>
      <w:r w:rsidRPr="00925674">
        <w:rPr>
          <w:rFonts w:asciiTheme="minorHAnsi" w:hAnsiTheme="minorHAnsi" w:cstheme="minorHAnsi"/>
        </w:rPr>
        <w:t xml:space="preserve"> respond to the concerns above, </w:t>
      </w:r>
      <w:r w:rsidR="008143FC" w:rsidRPr="00925674">
        <w:rPr>
          <w:rFonts w:asciiTheme="minorHAnsi" w:hAnsiTheme="minorHAnsi" w:cstheme="minorHAnsi"/>
        </w:rPr>
        <w:t>I invite you to meet with me on DATE at VENUE</w:t>
      </w:r>
      <w:r w:rsidR="00975EF4" w:rsidRPr="00925674">
        <w:rPr>
          <w:rFonts w:asciiTheme="minorHAnsi" w:hAnsiTheme="minorHAnsi" w:cstheme="minorHAnsi"/>
        </w:rPr>
        <w:t xml:space="preserve">. </w:t>
      </w:r>
      <w:r w:rsidR="00F26E4D" w:rsidRPr="00925674">
        <w:rPr>
          <w:rFonts w:asciiTheme="minorHAnsi" w:hAnsiTheme="minorHAnsi" w:cstheme="minorHAnsi"/>
        </w:rPr>
        <w:t>You may bring a support person</w:t>
      </w:r>
      <w:r w:rsidR="00280F45" w:rsidRPr="00925674">
        <w:rPr>
          <w:rFonts w:asciiTheme="minorHAnsi" w:hAnsiTheme="minorHAnsi" w:cstheme="minorHAnsi"/>
        </w:rPr>
        <w:t>(s)</w:t>
      </w:r>
      <w:r w:rsidR="00F26E4D" w:rsidRPr="00925674">
        <w:rPr>
          <w:rFonts w:asciiTheme="minorHAnsi" w:hAnsiTheme="minorHAnsi" w:cstheme="minorHAnsi"/>
        </w:rPr>
        <w:t xml:space="preserve"> if you wish</w:t>
      </w:r>
      <w:r w:rsidR="0095019E">
        <w:rPr>
          <w:rFonts w:asciiTheme="minorHAnsi" w:hAnsiTheme="minorHAnsi" w:cstheme="minorHAnsi"/>
        </w:rPr>
        <w:t>. P</w:t>
      </w:r>
      <w:r w:rsidR="00F26E4D" w:rsidRPr="00925674">
        <w:rPr>
          <w:rFonts w:asciiTheme="minorHAnsi" w:hAnsiTheme="minorHAnsi" w:cstheme="minorHAnsi"/>
        </w:rPr>
        <w:t>lease see the attached information sheet on available support avenues if you do not have someone already in mind.</w:t>
      </w:r>
      <w:r w:rsidR="008143FC" w:rsidRPr="00925674">
        <w:rPr>
          <w:rFonts w:asciiTheme="minorHAnsi" w:hAnsiTheme="minorHAnsi" w:cstheme="minorHAnsi"/>
        </w:rPr>
        <w:t xml:space="preserve"> </w:t>
      </w:r>
      <w:r w:rsidR="007B7E29" w:rsidRPr="007B7E29">
        <w:rPr>
          <w:rFonts w:asciiTheme="minorHAnsi" w:hAnsiTheme="minorHAnsi" w:cstheme="minorHAnsi"/>
        </w:rPr>
        <w:t>If this time is not suitable, another time can be arranged (CONTACT DETAILS)</w:t>
      </w:r>
      <w:r w:rsidR="007B7E29">
        <w:rPr>
          <w:rFonts w:asciiTheme="minorHAnsi" w:hAnsiTheme="minorHAnsi" w:cstheme="minorHAnsi"/>
        </w:rPr>
        <w:t xml:space="preserve">. </w:t>
      </w:r>
      <w:r w:rsidRPr="00925674">
        <w:rPr>
          <w:rFonts w:asciiTheme="minorHAnsi" w:hAnsiTheme="minorHAnsi" w:cstheme="minorHAnsi"/>
        </w:rPr>
        <w:t>You</w:t>
      </w:r>
      <w:r w:rsidR="008143FC" w:rsidRPr="00925674">
        <w:rPr>
          <w:rFonts w:asciiTheme="minorHAnsi" w:hAnsiTheme="minorHAnsi" w:cstheme="minorHAnsi"/>
        </w:rPr>
        <w:t xml:space="preserve"> may </w:t>
      </w:r>
      <w:r w:rsidRPr="00925674">
        <w:rPr>
          <w:rFonts w:asciiTheme="minorHAnsi" w:hAnsiTheme="minorHAnsi" w:cstheme="minorHAnsi"/>
        </w:rPr>
        <w:t xml:space="preserve">also </w:t>
      </w:r>
      <w:r w:rsidR="008143FC" w:rsidRPr="00925674">
        <w:rPr>
          <w:rFonts w:asciiTheme="minorHAnsi" w:hAnsiTheme="minorHAnsi" w:cstheme="minorHAnsi"/>
        </w:rPr>
        <w:t>make a written submission</w:t>
      </w:r>
      <w:r w:rsidRPr="00925674">
        <w:rPr>
          <w:rFonts w:asciiTheme="minorHAnsi" w:hAnsiTheme="minorHAnsi" w:cstheme="minorHAnsi"/>
        </w:rPr>
        <w:t>, either</w:t>
      </w:r>
      <w:r w:rsidR="00975EF4" w:rsidRPr="00925674">
        <w:rPr>
          <w:rFonts w:asciiTheme="minorHAnsi" w:hAnsiTheme="minorHAnsi" w:cstheme="minorHAnsi"/>
        </w:rPr>
        <w:t xml:space="preserve"> in addition to </w:t>
      </w:r>
      <w:r w:rsidRPr="00925674">
        <w:rPr>
          <w:rFonts w:asciiTheme="minorHAnsi" w:hAnsiTheme="minorHAnsi" w:cstheme="minorHAnsi"/>
        </w:rPr>
        <w:t>meeting wi</w:t>
      </w:r>
      <w:r w:rsidR="00975EF4" w:rsidRPr="00925674">
        <w:rPr>
          <w:rFonts w:asciiTheme="minorHAnsi" w:hAnsiTheme="minorHAnsi" w:cstheme="minorHAnsi"/>
        </w:rPr>
        <w:t xml:space="preserve">th me or as an alternative to </w:t>
      </w:r>
      <w:r w:rsidR="005C2B86" w:rsidRPr="00925674">
        <w:rPr>
          <w:rFonts w:asciiTheme="minorHAnsi" w:hAnsiTheme="minorHAnsi" w:cstheme="minorHAnsi"/>
        </w:rPr>
        <w:t xml:space="preserve">a </w:t>
      </w:r>
      <w:r w:rsidRPr="00925674">
        <w:rPr>
          <w:rFonts w:asciiTheme="minorHAnsi" w:hAnsiTheme="minorHAnsi" w:cstheme="minorHAnsi"/>
        </w:rPr>
        <w:t>meeting</w:t>
      </w:r>
      <w:r w:rsidR="00494DC8" w:rsidRPr="00925674">
        <w:rPr>
          <w:rFonts w:asciiTheme="minorHAnsi" w:hAnsiTheme="minorHAnsi" w:cstheme="minorHAnsi"/>
        </w:rPr>
        <w:t>.</w:t>
      </w:r>
      <w:r w:rsidR="008143FC" w:rsidRPr="00925674">
        <w:rPr>
          <w:rFonts w:asciiTheme="minorHAnsi" w:hAnsiTheme="minorHAnsi" w:cstheme="minorHAnsi"/>
        </w:rPr>
        <w:t xml:space="preserve"> </w:t>
      </w:r>
      <w:r w:rsidR="00AB4147" w:rsidRPr="00925674">
        <w:rPr>
          <w:rFonts w:asciiTheme="minorHAnsi" w:hAnsiTheme="minorHAnsi" w:cstheme="minorHAnsi"/>
        </w:rPr>
        <w:t xml:space="preserve">Please </w:t>
      </w:r>
      <w:r w:rsidR="0082157A" w:rsidRPr="00925674">
        <w:rPr>
          <w:rFonts w:asciiTheme="minorHAnsi" w:hAnsiTheme="minorHAnsi" w:cstheme="minorHAnsi"/>
        </w:rPr>
        <w:t>be aware</w:t>
      </w:r>
      <w:r w:rsidR="00AB4147" w:rsidRPr="00925674">
        <w:rPr>
          <w:rFonts w:asciiTheme="minorHAnsi" w:hAnsiTheme="minorHAnsi" w:cstheme="minorHAnsi"/>
        </w:rPr>
        <w:t xml:space="preserve"> that any information you provide </w:t>
      </w:r>
      <w:r w:rsidR="009F16EC" w:rsidRPr="00925674">
        <w:rPr>
          <w:rFonts w:asciiTheme="minorHAnsi" w:hAnsiTheme="minorHAnsi" w:cstheme="minorHAnsi"/>
        </w:rPr>
        <w:t>that</w:t>
      </w:r>
      <w:r w:rsidR="00AB4147" w:rsidRPr="00925674">
        <w:rPr>
          <w:rFonts w:asciiTheme="minorHAnsi" w:hAnsiTheme="minorHAnsi" w:cstheme="minorHAnsi"/>
        </w:rPr>
        <w:t xml:space="preserve"> is relevant to other misconduct investigations at the University may be </w:t>
      </w:r>
      <w:r w:rsidR="0082157A" w:rsidRPr="00925674">
        <w:rPr>
          <w:rFonts w:asciiTheme="minorHAnsi" w:hAnsiTheme="minorHAnsi" w:cstheme="minorHAnsi"/>
        </w:rPr>
        <w:t>used and/or disclosed</w:t>
      </w:r>
      <w:r w:rsidR="00AB4147" w:rsidRPr="00925674">
        <w:rPr>
          <w:rFonts w:asciiTheme="minorHAnsi" w:hAnsiTheme="minorHAnsi" w:cstheme="minorHAnsi"/>
        </w:rPr>
        <w:t xml:space="preserve"> in connection with those investigations. </w:t>
      </w:r>
    </w:p>
    <w:p w14:paraId="36DC79A0" w14:textId="77777777" w:rsidR="00280F45" w:rsidRPr="00925674" w:rsidRDefault="00280F45" w:rsidP="00020706">
      <w:pPr>
        <w:rPr>
          <w:rFonts w:asciiTheme="minorHAnsi" w:hAnsiTheme="minorHAnsi" w:cstheme="minorHAnsi"/>
        </w:rPr>
      </w:pPr>
    </w:p>
    <w:p w14:paraId="23C567D2" w14:textId="3D13ACE4" w:rsidR="00020706" w:rsidRPr="00925674" w:rsidRDefault="00020706" w:rsidP="00020706">
      <w:pPr>
        <w:rPr>
          <w:rFonts w:asciiTheme="minorHAnsi" w:hAnsiTheme="minorHAnsi" w:cstheme="minorHAnsi"/>
        </w:rPr>
      </w:pPr>
      <w:r w:rsidRPr="00925674">
        <w:rPr>
          <w:rFonts w:asciiTheme="minorHAnsi" w:hAnsiTheme="minorHAnsi" w:cstheme="minorHAnsi"/>
        </w:rPr>
        <w:t xml:space="preserve">If I do not hear from you within </w:t>
      </w:r>
      <w:r w:rsidR="007E6229" w:rsidRPr="00925674">
        <w:rPr>
          <w:rFonts w:asciiTheme="minorHAnsi" w:hAnsiTheme="minorHAnsi" w:cstheme="minorHAnsi"/>
        </w:rPr>
        <w:t>seven</w:t>
      </w:r>
      <w:r w:rsidRPr="00925674">
        <w:rPr>
          <w:rFonts w:asciiTheme="minorHAnsi" w:hAnsiTheme="minorHAnsi" w:cstheme="minorHAnsi"/>
        </w:rPr>
        <w:t xml:space="preserve"> days (by DATE) I will proceed to determine the outcome of my investigation without your input.</w:t>
      </w:r>
    </w:p>
    <w:p w14:paraId="672CA78C" w14:textId="77777777" w:rsidR="00975EF4" w:rsidRPr="00925674" w:rsidRDefault="00975EF4" w:rsidP="00506610">
      <w:pPr>
        <w:rPr>
          <w:rFonts w:asciiTheme="minorHAnsi" w:hAnsiTheme="minorHAnsi" w:cstheme="minorHAnsi"/>
        </w:rPr>
      </w:pPr>
    </w:p>
    <w:p w14:paraId="10FE4847" w14:textId="6E5FEA38" w:rsidR="006514C8" w:rsidRPr="00925674" w:rsidRDefault="00506610" w:rsidP="00506610">
      <w:pPr>
        <w:rPr>
          <w:rFonts w:asciiTheme="minorHAnsi" w:hAnsiTheme="minorHAnsi" w:cstheme="minorHAnsi"/>
        </w:rPr>
      </w:pPr>
      <w:r w:rsidRPr="00925674">
        <w:rPr>
          <w:rFonts w:asciiTheme="minorHAnsi" w:hAnsiTheme="minorHAnsi" w:cstheme="minorHAnsi"/>
        </w:rPr>
        <w:t xml:space="preserve">Allegations of academic misconduct fall under the University’s </w:t>
      </w:r>
      <w:r w:rsidRPr="00925674">
        <w:rPr>
          <w:rFonts w:asciiTheme="minorHAnsi" w:hAnsiTheme="minorHAnsi" w:cstheme="minorHAnsi"/>
          <w:i/>
          <w:iCs/>
        </w:rPr>
        <w:t>Academic Integrity Policy</w:t>
      </w:r>
      <w:r w:rsidRPr="00925674">
        <w:rPr>
          <w:rFonts w:asciiTheme="minorHAnsi" w:hAnsiTheme="minorHAnsi" w:cstheme="minorHAnsi"/>
        </w:rPr>
        <w:t xml:space="preserve"> and </w:t>
      </w:r>
      <w:r w:rsidRPr="00925674">
        <w:rPr>
          <w:rFonts w:asciiTheme="minorHAnsi" w:hAnsiTheme="minorHAnsi" w:cstheme="minorHAnsi"/>
          <w:i/>
          <w:iCs/>
        </w:rPr>
        <w:t>Student Academic Misconduct Procedures</w:t>
      </w:r>
      <w:r w:rsidRPr="00925674">
        <w:rPr>
          <w:rFonts w:asciiTheme="minorHAnsi" w:hAnsiTheme="minorHAnsi" w:cstheme="minorHAnsi"/>
        </w:rPr>
        <w:t>. I advise you to familiarise yourself with these policies which are available</w:t>
      </w:r>
      <w:r w:rsidR="00F437A6" w:rsidRPr="00925674">
        <w:rPr>
          <w:rFonts w:asciiTheme="minorHAnsi" w:hAnsiTheme="minorHAnsi" w:cstheme="minorHAnsi"/>
        </w:rPr>
        <w:t xml:space="preserve"> at</w:t>
      </w:r>
      <w:r w:rsidR="00FF5845" w:rsidRPr="00925674">
        <w:rPr>
          <w:rFonts w:asciiTheme="minorHAnsi" w:hAnsiTheme="minorHAnsi" w:cstheme="minorHAnsi"/>
        </w:rPr>
        <w:t>:</w:t>
      </w:r>
    </w:p>
    <w:p w14:paraId="70A96B0A" w14:textId="77777777" w:rsidR="00925674" w:rsidRPr="00925674" w:rsidRDefault="00925674" w:rsidP="00506610">
      <w:pPr>
        <w:rPr>
          <w:rFonts w:asciiTheme="minorHAnsi" w:hAnsiTheme="minorHAnsi" w:cstheme="minorHAnsi"/>
        </w:rPr>
      </w:pPr>
    </w:p>
    <w:p w14:paraId="06277ADA" w14:textId="77777777" w:rsidR="00E3178C" w:rsidRPr="00925674" w:rsidRDefault="0017180D" w:rsidP="00706E76">
      <w:pPr>
        <w:ind w:left="720"/>
        <w:rPr>
          <w:rFonts w:asciiTheme="minorHAnsi" w:hAnsiTheme="minorHAnsi" w:cstheme="minorHAnsi"/>
        </w:rPr>
      </w:pPr>
      <w:hyperlink r:id="rId8" w:history="1">
        <w:r w:rsidR="00841DC4" w:rsidRPr="00925674">
          <w:rPr>
            <w:rStyle w:val="Hyperlink"/>
            <w:rFonts w:asciiTheme="minorHAnsi" w:hAnsiTheme="minorHAnsi" w:cstheme="minorHAnsi"/>
          </w:rPr>
          <w:t>otago.ac.nz/administration/policies/otago116838.html</w:t>
        </w:r>
      </w:hyperlink>
      <w:r w:rsidR="00F437A6" w:rsidRPr="00925674">
        <w:rPr>
          <w:rFonts w:asciiTheme="minorHAnsi" w:hAnsiTheme="minorHAnsi" w:cstheme="minorHAnsi"/>
        </w:rPr>
        <w:t xml:space="preserve"> and  </w:t>
      </w:r>
      <w:hyperlink r:id="rId9" w:history="1">
        <w:r w:rsidR="00841DC4" w:rsidRPr="00925674">
          <w:rPr>
            <w:rStyle w:val="Hyperlink"/>
            <w:rFonts w:asciiTheme="minorHAnsi" w:hAnsiTheme="minorHAnsi" w:cstheme="minorHAnsi"/>
          </w:rPr>
          <w:t>otago.ac.nz/administration/policies/otago116850.html</w:t>
        </w:r>
      </w:hyperlink>
      <w:r w:rsidR="00E3178C" w:rsidRPr="00925674">
        <w:rPr>
          <w:rFonts w:asciiTheme="minorHAnsi" w:hAnsiTheme="minorHAnsi" w:cstheme="minorHAnsi"/>
        </w:rPr>
        <w:t xml:space="preserve"> </w:t>
      </w:r>
    </w:p>
    <w:p w14:paraId="33A0B35F" w14:textId="77777777" w:rsidR="00E3178C" w:rsidRPr="00925674" w:rsidRDefault="00E3178C" w:rsidP="00706E76">
      <w:pPr>
        <w:ind w:left="720"/>
        <w:rPr>
          <w:rFonts w:asciiTheme="minorHAnsi" w:hAnsiTheme="minorHAnsi" w:cstheme="minorHAnsi"/>
        </w:rPr>
      </w:pPr>
    </w:p>
    <w:p w14:paraId="370E0380" w14:textId="5C56CB91" w:rsidR="00EA65C3" w:rsidRPr="00925674" w:rsidRDefault="00506610" w:rsidP="00506610">
      <w:pPr>
        <w:rPr>
          <w:rFonts w:asciiTheme="minorHAnsi" w:hAnsiTheme="minorHAnsi" w:cstheme="minorHAnsi"/>
        </w:rPr>
      </w:pPr>
      <w:r w:rsidRPr="00925674">
        <w:rPr>
          <w:rFonts w:asciiTheme="minorHAnsi" w:hAnsiTheme="minorHAnsi" w:cstheme="minorHAnsi"/>
        </w:rPr>
        <w:lastRenderedPageBreak/>
        <w:t xml:space="preserve">I am also obliged to provide you with details of the potential outcomes and penalties </w:t>
      </w:r>
      <w:r w:rsidR="00DF63F7" w:rsidRPr="00925674">
        <w:rPr>
          <w:rFonts w:asciiTheme="minorHAnsi" w:hAnsiTheme="minorHAnsi" w:cstheme="minorHAnsi"/>
        </w:rPr>
        <w:t>that</w:t>
      </w:r>
      <w:r w:rsidRPr="00925674">
        <w:rPr>
          <w:rFonts w:asciiTheme="minorHAnsi" w:hAnsiTheme="minorHAnsi" w:cstheme="minorHAnsi"/>
        </w:rPr>
        <w:t xml:space="preserve"> may be imposed if the alleged misconduct is found to have occurred</w:t>
      </w:r>
      <w:r w:rsidR="0095019E">
        <w:rPr>
          <w:rFonts w:asciiTheme="minorHAnsi" w:hAnsiTheme="minorHAnsi" w:cstheme="minorHAnsi"/>
        </w:rPr>
        <w:t>.</w:t>
      </w:r>
      <w:r w:rsidRPr="00925674">
        <w:rPr>
          <w:rFonts w:asciiTheme="minorHAnsi" w:hAnsiTheme="minorHAnsi" w:cstheme="minorHAnsi"/>
        </w:rPr>
        <w:t xml:space="preserve"> </w:t>
      </w:r>
      <w:r w:rsidR="0095019E">
        <w:rPr>
          <w:rFonts w:asciiTheme="minorHAnsi" w:hAnsiTheme="minorHAnsi" w:cstheme="minorHAnsi"/>
        </w:rPr>
        <w:t>P</w:t>
      </w:r>
      <w:r w:rsidRPr="00925674">
        <w:rPr>
          <w:rFonts w:asciiTheme="minorHAnsi" w:hAnsiTheme="minorHAnsi" w:cstheme="minorHAnsi"/>
        </w:rPr>
        <w:t>lease see the attached information sheet</w:t>
      </w:r>
      <w:r w:rsidR="00975EF4" w:rsidRPr="00925674">
        <w:rPr>
          <w:rFonts w:asciiTheme="minorHAnsi" w:hAnsiTheme="minorHAnsi" w:cstheme="minorHAnsi"/>
        </w:rPr>
        <w:t>, and particularly the potential outcomes for Level 1 misconduct</w:t>
      </w:r>
      <w:r w:rsidRPr="00925674">
        <w:rPr>
          <w:rFonts w:asciiTheme="minorHAnsi" w:hAnsiTheme="minorHAnsi" w:cstheme="minorHAnsi"/>
        </w:rPr>
        <w:t xml:space="preserve">.  </w:t>
      </w:r>
    </w:p>
    <w:p w14:paraId="2FA923FC" w14:textId="77777777" w:rsidR="00020706" w:rsidRPr="00925674" w:rsidRDefault="00020706" w:rsidP="00E53489">
      <w:pPr>
        <w:rPr>
          <w:rFonts w:asciiTheme="minorHAnsi" w:hAnsiTheme="minorHAnsi" w:cstheme="minorHAnsi"/>
        </w:rPr>
      </w:pPr>
    </w:p>
    <w:p w14:paraId="06D65643" w14:textId="18D7F033" w:rsidR="00E53489" w:rsidRPr="00925674" w:rsidRDefault="00E53489" w:rsidP="00E53489">
      <w:pPr>
        <w:rPr>
          <w:rFonts w:asciiTheme="minorHAnsi" w:hAnsiTheme="minorHAnsi" w:cstheme="minorHAnsi"/>
        </w:rPr>
      </w:pPr>
      <w:r w:rsidRPr="00925674">
        <w:rPr>
          <w:rFonts w:asciiTheme="minorHAnsi" w:hAnsiTheme="minorHAnsi" w:cstheme="minorHAnsi"/>
        </w:rPr>
        <w:t>Yours sincerely</w:t>
      </w:r>
      <w:r w:rsidR="0095019E">
        <w:rPr>
          <w:rFonts w:asciiTheme="minorHAnsi" w:hAnsiTheme="minorHAnsi" w:cstheme="minorHAnsi"/>
        </w:rPr>
        <w:t>,</w:t>
      </w:r>
    </w:p>
    <w:p w14:paraId="1CD810C0" w14:textId="786043BD" w:rsidR="00975EF4" w:rsidRPr="00925674" w:rsidRDefault="00975EF4" w:rsidP="00E53489">
      <w:pPr>
        <w:rPr>
          <w:rFonts w:asciiTheme="minorHAnsi" w:hAnsiTheme="minorHAnsi" w:cstheme="minorHAnsi"/>
        </w:rPr>
      </w:pPr>
    </w:p>
    <w:p w14:paraId="4E59B5AF" w14:textId="0128E154" w:rsidR="00BE00F2" w:rsidRDefault="00BE00F2" w:rsidP="00E53489">
      <w:pPr>
        <w:rPr>
          <w:rFonts w:asciiTheme="minorHAnsi" w:hAnsiTheme="minorHAnsi" w:cstheme="minorHAnsi"/>
        </w:rPr>
      </w:pPr>
    </w:p>
    <w:p w14:paraId="18590678" w14:textId="77777777" w:rsidR="00BE00F2" w:rsidRPr="00925674" w:rsidRDefault="00BE00F2" w:rsidP="00E53489">
      <w:pPr>
        <w:rPr>
          <w:rFonts w:asciiTheme="minorHAnsi" w:hAnsiTheme="minorHAnsi" w:cstheme="minorHAnsi"/>
        </w:rPr>
      </w:pPr>
    </w:p>
    <w:p w14:paraId="28075152" w14:textId="59E8E3D9" w:rsidR="00706E76" w:rsidRPr="00925674" w:rsidRDefault="00BE00F2" w:rsidP="00E53489">
      <w:pPr>
        <w:rPr>
          <w:rFonts w:asciiTheme="minorHAnsi" w:hAnsiTheme="minorHAnsi" w:cstheme="minorHAnsi"/>
        </w:rPr>
      </w:pPr>
      <w:r>
        <w:rPr>
          <w:rFonts w:asciiTheme="minorHAnsi" w:hAnsiTheme="minorHAnsi" w:cstheme="minorHAnsi"/>
        </w:rPr>
        <w:t>TITLE &amp; NAME</w:t>
      </w:r>
    </w:p>
    <w:p w14:paraId="3BC779C7" w14:textId="5A170847" w:rsidR="00D87F05" w:rsidRDefault="00D87F05" w:rsidP="00E53489">
      <w:pPr>
        <w:rPr>
          <w:rFonts w:asciiTheme="minorHAnsi" w:hAnsiTheme="minorHAnsi" w:cstheme="minorHAnsi"/>
        </w:rPr>
      </w:pPr>
      <w:r w:rsidRPr="00925674">
        <w:rPr>
          <w:rFonts w:asciiTheme="minorHAnsi" w:hAnsiTheme="minorHAnsi" w:cstheme="minorHAnsi"/>
        </w:rPr>
        <w:t>Head of Department</w:t>
      </w:r>
    </w:p>
    <w:p w14:paraId="40A56E06" w14:textId="3D22EF6B" w:rsidR="00BE00F2" w:rsidRPr="00925674" w:rsidRDefault="00BE00F2" w:rsidP="00E53489">
      <w:pPr>
        <w:rPr>
          <w:rFonts w:asciiTheme="minorHAnsi" w:hAnsiTheme="minorHAnsi" w:cstheme="minorHAnsi"/>
        </w:rPr>
      </w:pPr>
      <w:r>
        <w:rPr>
          <w:rFonts w:asciiTheme="minorHAnsi" w:hAnsiTheme="minorHAnsi" w:cstheme="minorHAnsi"/>
        </w:rPr>
        <w:t xml:space="preserve">Department of DEPARTMENT </w:t>
      </w:r>
    </w:p>
    <w:p w14:paraId="6E97899A" w14:textId="77777777" w:rsidR="00E53489" w:rsidRPr="00925674" w:rsidRDefault="00E53489" w:rsidP="00E53489">
      <w:pPr>
        <w:rPr>
          <w:rFonts w:asciiTheme="minorHAnsi" w:hAnsiTheme="minorHAnsi" w:cstheme="minorHAnsi"/>
        </w:rPr>
      </w:pPr>
    </w:p>
    <w:p w14:paraId="4686CFA2" w14:textId="77777777" w:rsidR="00841DC4" w:rsidRPr="00925674" w:rsidRDefault="00841DC4" w:rsidP="00841DC4">
      <w:pPr>
        <w:rPr>
          <w:rFonts w:asciiTheme="minorHAnsi" w:hAnsiTheme="minorHAnsi" w:cstheme="minorHAnsi"/>
        </w:rPr>
      </w:pPr>
      <w:r w:rsidRPr="00925674">
        <w:rPr>
          <w:rFonts w:asciiTheme="minorHAnsi" w:hAnsiTheme="minorHAnsi" w:cstheme="minorHAnsi"/>
        </w:rPr>
        <w:t>cc</w:t>
      </w:r>
      <w:r w:rsidRPr="00925674">
        <w:rPr>
          <w:rFonts w:asciiTheme="minorHAnsi" w:hAnsiTheme="minorHAnsi" w:cstheme="minorHAnsi"/>
        </w:rPr>
        <w:tab/>
      </w:r>
      <w:r w:rsidR="00E05BD3" w:rsidRPr="00925674">
        <w:rPr>
          <w:rFonts w:asciiTheme="minorHAnsi" w:hAnsiTheme="minorHAnsi" w:cstheme="minorHAnsi"/>
        </w:rPr>
        <w:t>Academic Integrity</w:t>
      </w:r>
      <w:r w:rsidRPr="00925674">
        <w:rPr>
          <w:rFonts w:asciiTheme="minorHAnsi" w:hAnsiTheme="minorHAnsi" w:cstheme="minorHAnsi"/>
        </w:rPr>
        <w:t xml:space="preserve"> (</w:t>
      </w:r>
      <w:r w:rsidR="00AA29A9" w:rsidRPr="00925674">
        <w:rPr>
          <w:rStyle w:val="Hyperlink"/>
          <w:rFonts w:asciiTheme="minorHAnsi" w:hAnsiTheme="minorHAnsi" w:cstheme="minorHAnsi"/>
        </w:rPr>
        <w:t>academic.integrity@otago.ac.nz</w:t>
      </w:r>
      <w:r w:rsidRPr="00925674">
        <w:rPr>
          <w:rFonts w:asciiTheme="minorHAnsi" w:hAnsiTheme="minorHAnsi" w:cstheme="minorHAnsi"/>
        </w:rPr>
        <w:t xml:space="preserve">) </w:t>
      </w:r>
    </w:p>
    <w:p w14:paraId="3CD848E7" w14:textId="77777777" w:rsidR="00CB78DF" w:rsidRPr="00925674" w:rsidRDefault="00841DC4">
      <w:pPr>
        <w:rPr>
          <w:rFonts w:asciiTheme="minorHAnsi" w:hAnsiTheme="minorHAnsi" w:cstheme="minorHAnsi"/>
        </w:rPr>
      </w:pPr>
      <w:r w:rsidRPr="00925674">
        <w:rPr>
          <w:rFonts w:asciiTheme="minorHAnsi" w:hAnsiTheme="minorHAnsi" w:cstheme="minorHAnsi"/>
        </w:rPr>
        <w:t xml:space="preserve">cc </w:t>
      </w:r>
      <w:r w:rsidRPr="00925674">
        <w:rPr>
          <w:rFonts w:asciiTheme="minorHAnsi" w:hAnsiTheme="minorHAnsi" w:cstheme="minorHAnsi"/>
        </w:rPr>
        <w:tab/>
        <w:t>Head of Student Experience (</w:t>
      </w:r>
      <w:hyperlink r:id="rId10" w:history="1">
        <w:r w:rsidR="00AA29A9" w:rsidRPr="00925674">
          <w:rPr>
            <w:rStyle w:val="Hyperlink"/>
            <w:rFonts w:asciiTheme="minorHAnsi" w:hAnsiTheme="minorHAnsi" w:cstheme="minorHAnsi"/>
          </w:rPr>
          <w:t>head.studentexp@otago.ac.nz</w:t>
        </w:r>
      </w:hyperlink>
      <w:r w:rsidRPr="00925674">
        <w:rPr>
          <w:rFonts w:asciiTheme="minorHAnsi" w:hAnsiTheme="minorHAnsi" w:cstheme="minorHAnsi"/>
        </w:rPr>
        <w:t xml:space="preserve">) </w:t>
      </w:r>
    </w:p>
    <w:p w14:paraId="50719198" w14:textId="77777777" w:rsidR="00CB78DF" w:rsidRPr="00B7238B" w:rsidRDefault="00CB78DF">
      <w:pPr>
        <w:rPr>
          <w:rFonts w:asciiTheme="minorHAnsi" w:hAnsiTheme="minorHAnsi" w:cstheme="minorHAnsi"/>
        </w:rPr>
      </w:pPr>
    </w:p>
    <w:p w14:paraId="10DA045A" w14:textId="77777777" w:rsidR="00280F45" w:rsidRDefault="00280F45">
      <w:pPr>
        <w:rPr>
          <w:rFonts w:asciiTheme="minorHAnsi" w:hAnsiTheme="minorHAnsi"/>
          <w:b/>
        </w:rPr>
      </w:pPr>
      <w:r>
        <w:rPr>
          <w:rFonts w:asciiTheme="minorHAnsi" w:hAnsiTheme="minorHAnsi"/>
          <w:b/>
        </w:rPr>
        <w:br w:type="page"/>
      </w:r>
    </w:p>
    <w:p w14:paraId="73BF08DB" w14:textId="62B9E6D9" w:rsidR="00A3426C" w:rsidRDefault="00A3426C" w:rsidP="00A3426C">
      <w:pPr>
        <w:spacing w:after="60"/>
        <w:jc w:val="center"/>
        <w:rPr>
          <w:rFonts w:asciiTheme="minorHAnsi" w:hAnsiTheme="minorHAnsi"/>
          <w:b/>
        </w:rPr>
      </w:pPr>
      <w:r>
        <w:rPr>
          <w:rFonts w:asciiTheme="minorHAnsi" w:hAnsiTheme="minorHAnsi"/>
          <w:b/>
        </w:rPr>
        <w:lastRenderedPageBreak/>
        <w:t>University of Otago</w:t>
      </w:r>
    </w:p>
    <w:p w14:paraId="02C3B412" w14:textId="77777777" w:rsidR="00A3426C" w:rsidRPr="0090443F" w:rsidRDefault="00A3426C" w:rsidP="00A3426C">
      <w:pPr>
        <w:spacing w:after="120"/>
        <w:jc w:val="center"/>
        <w:rPr>
          <w:rFonts w:asciiTheme="minorHAnsi" w:hAnsiTheme="minorHAnsi"/>
          <w:b/>
          <w:sz w:val="32"/>
          <w:szCs w:val="32"/>
        </w:rPr>
      </w:pPr>
      <w:r w:rsidRPr="0090443F">
        <w:rPr>
          <w:rFonts w:asciiTheme="minorHAnsi" w:hAnsiTheme="minorHAnsi"/>
          <w:b/>
          <w:sz w:val="32"/>
          <w:szCs w:val="32"/>
        </w:rPr>
        <w:t>SUPPORT SERVICES AVAILABLE</w:t>
      </w:r>
    </w:p>
    <w:tbl>
      <w:tblPr>
        <w:tblStyle w:val="TableGrid"/>
        <w:tblW w:w="10632" w:type="dxa"/>
        <w:tblInd w:w="-998" w:type="dxa"/>
        <w:tblLook w:val="04A0" w:firstRow="1" w:lastRow="0" w:firstColumn="1" w:lastColumn="0" w:noHBand="0" w:noVBand="1"/>
      </w:tblPr>
      <w:tblGrid>
        <w:gridCol w:w="851"/>
        <w:gridCol w:w="9781"/>
      </w:tblGrid>
      <w:tr w:rsidR="00A3426C" w:rsidRPr="00C32E3B" w14:paraId="0077E5E5" w14:textId="77777777" w:rsidTr="00BE00F2">
        <w:trPr>
          <w:trHeight w:val="554"/>
        </w:trPr>
        <w:tc>
          <w:tcPr>
            <w:tcW w:w="10632" w:type="dxa"/>
            <w:gridSpan w:val="2"/>
            <w:shd w:val="clear" w:color="auto" w:fill="D9D9D9" w:themeFill="background1" w:themeFillShade="D9"/>
          </w:tcPr>
          <w:p w14:paraId="2C3ECE2A" w14:textId="6B05C111" w:rsidR="00A3426C" w:rsidRPr="00280F45" w:rsidRDefault="00A3426C" w:rsidP="00280F45">
            <w:pPr>
              <w:spacing w:before="60" w:after="60"/>
              <w:jc w:val="center"/>
              <w:rPr>
                <w:b/>
              </w:rPr>
            </w:pPr>
            <w:r>
              <w:rPr>
                <w:b/>
              </w:rPr>
              <w:br w:type="page"/>
              <w:t>GENERAL ADVICE (</w:t>
            </w:r>
            <w:r w:rsidRPr="0090443F">
              <w:rPr>
                <w:b/>
              </w:rPr>
              <w:t>FOR PASTORAL, ACADEMIC AND SOCIAL SUPPORT)</w:t>
            </w:r>
          </w:p>
        </w:tc>
      </w:tr>
      <w:tr w:rsidR="00A3426C" w:rsidRPr="00C32E3B" w14:paraId="10EF0D36" w14:textId="77777777" w:rsidTr="00280F45">
        <w:tc>
          <w:tcPr>
            <w:tcW w:w="10632" w:type="dxa"/>
            <w:gridSpan w:val="2"/>
            <w:tcBorders>
              <w:top w:val="nil"/>
              <w:left w:val="single" w:sz="4" w:space="0" w:color="auto"/>
              <w:bottom w:val="nil"/>
              <w:right w:val="single" w:sz="4" w:space="0" w:color="auto"/>
            </w:tcBorders>
          </w:tcPr>
          <w:p w14:paraId="12BB445B" w14:textId="7265D0BC" w:rsidR="00A3426C" w:rsidRPr="00DF364E" w:rsidRDefault="00A3426C" w:rsidP="00ED6CEA">
            <w:pPr>
              <w:pStyle w:val="ListParagraph"/>
              <w:numPr>
                <w:ilvl w:val="0"/>
                <w:numId w:val="2"/>
              </w:numPr>
              <w:tabs>
                <w:tab w:val="left" w:pos="459"/>
              </w:tabs>
              <w:spacing w:before="60" w:after="0" w:line="240" w:lineRule="auto"/>
              <w:ind w:left="437" w:hanging="425"/>
              <w:rPr>
                <w:b/>
              </w:rPr>
            </w:pPr>
            <w:r w:rsidRPr="0090443F">
              <w:rPr>
                <w:b/>
              </w:rPr>
              <w:t>OUSA</w:t>
            </w:r>
            <w:r>
              <w:rPr>
                <w:b/>
              </w:rPr>
              <w:t>,</w:t>
            </w:r>
            <w:r w:rsidRPr="0090443F">
              <w:rPr>
                <w:b/>
              </w:rPr>
              <w:t xml:space="preserve"> </w:t>
            </w:r>
            <w:r>
              <w:t xml:space="preserve">your students’ association, provides students with representation, welfare, advocacy, budget advice, study link support, recreation, fun events and media. They are completely independent from the University. OUSA Student Support can be reached at </w:t>
            </w:r>
            <w:hyperlink r:id="rId11" w:history="1">
              <w:r w:rsidRPr="006E7CFC">
                <w:rPr>
                  <w:rStyle w:val="Hyperlink"/>
                </w:rPr>
                <w:t>ousa.org.nz/support</w:t>
              </w:r>
            </w:hyperlink>
            <w:r>
              <w:t xml:space="preserve"> or by emailing </w:t>
            </w:r>
            <w:hyperlink r:id="rId12" w:history="1">
              <w:r w:rsidRPr="006E7CFC">
                <w:rPr>
                  <w:rStyle w:val="Hyperlink"/>
                </w:rPr>
                <w:t>help@ousa.org.nz</w:t>
              </w:r>
            </w:hyperlink>
          </w:p>
          <w:p w14:paraId="353A1972" w14:textId="77777777" w:rsidR="00A3426C" w:rsidRPr="0090443F" w:rsidRDefault="00A3426C" w:rsidP="00ED6CEA">
            <w:pPr>
              <w:pStyle w:val="ListParagraph"/>
              <w:tabs>
                <w:tab w:val="left" w:pos="459"/>
              </w:tabs>
              <w:spacing w:before="60" w:after="0" w:line="240" w:lineRule="auto"/>
              <w:ind w:left="437"/>
              <w:rPr>
                <w:b/>
              </w:rPr>
            </w:pPr>
          </w:p>
        </w:tc>
      </w:tr>
      <w:tr w:rsidR="00A3426C" w:rsidRPr="00C32E3B" w14:paraId="79D02872" w14:textId="77777777" w:rsidTr="00280F45">
        <w:tc>
          <w:tcPr>
            <w:tcW w:w="10632" w:type="dxa"/>
            <w:gridSpan w:val="2"/>
            <w:tcBorders>
              <w:top w:val="nil"/>
              <w:left w:val="single" w:sz="4" w:space="0" w:color="auto"/>
              <w:bottom w:val="nil"/>
              <w:right w:val="single" w:sz="4" w:space="0" w:color="auto"/>
            </w:tcBorders>
          </w:tcPr>
          <w:p w14:paraId="3DDA83D5" w14:textId="77777777" w:rsidR="00A3426C" w:rsidRDefault="00A3426C" w:rsidP="00ED6CEA">
            <w:pPr>
              <w:pStyle w:val="ListParagraph"/>
              <w:numPr>
                <w:ilvl w:val="0"/>
                <w:numId w:val="2"/>
              </w:numPr>
              <w:spacing w:before="60" w:after="0" w:line="240" w:lineRule="auto"/>
              <w:ind w:left="437" w:hanging="425"/>
            </w:pPr>
            <w:r w:rsidRPr="00B22DFD">
              <w:rPr>
                <w:b/>
              </w:rPr>
              <w:t>YOUR COLLEGE STAFF</w:t>
            </w:r>
            <w:r>
              <w:t xml:space="preserve"> will be able to offer support for a range of challenges and refer you to specialists in the University for further support, if needed.</w:t>
            </w:r>
          </w:p>
          <w:p w14:paraId="03004ED9" w14:textId="77777777" w:rsidR="00A3426C" w:rsidRDefault="00A3426C" w:rsidP="00ED6CEA">
            <w:pPr>
              <w:pStyle w:val="ListParagraph"/>
              <w:spacing w:before="60" w:after="0" w:line="240" w:lineRule="auto"/>
              <w:ind w:left="437"/>
            </w:pPr>
          </w:p>
          <w:p w14:paraId="76E2E74B" w14:textId="2053E66B" w:rsidR="00793C3D" w:rsidRPr="00793C3D" w:rsidRDefault="00A3426C" w:rsidP="00793C3D">
            <w:pPr>
              <w:pStyle w:val="ListParagraph"/>
              <w:numPr>
                <w:ilvl w:val="0"/>
                <w:numId w:val="2"/>
              </w:numPr>
              <w:spacing w:before="60" w:after="0" w:line="240" w:lineRule="auto"/>
              <w:ind w:left="437" w:hanging="425"/>
            </w:pPr>
            <w:r w:rsidRPr="00560419">
              <w:rPr>
                <w:b/>
              </w:rPr>
              <w:t>LOCALS PROGRAMME</w:t>
            </w:r>
            <w:r>
              <w:t xml:space="preserve"> provides academic, social and sporting opportunities to students flatting, boarding or living at home in their first year at the University of Otago. Locals staff offer support for a range of challenges and can refer you to specialists in the University for further support if needed. </w:t>
            </w:r>
            <w:hyperlink r:id="rId13" w:history="1">
              <w:r w:rsidRPr="00560419">
                <w:rPr>
                  <w:rStyle w:val="Hyperlink"/>
                </w:rPr>
                <w:t>locals.otago.ac.nz</w:t>
              </w:r>
            </w:hyperlink>
            <w:r>
              <w:t xml:space="preserve"> and </w:t>
            </w:r>
            <w:hyperlink r:id="rId14" w:history="1">
              <w:r>
                <w:rPr>
                  <w:rStyle w:val="Hyperlink"/>
                </w:rPr>
                <w:t>facebook.com/</w:t>
              </w:r>
              <w:proofErr w:type="spellStart"/>
              <w:r>
                <w:rPr>
                  <w:rStyle w:val="Hyperlink"/>
                </w:rPr>
                <w:t>O</w:t>
              </w:r>
              <w:r w:rsidRPr="00560419">
                <w:rPr>
                  <w:rStyle w:val="Hyperlink"/>
                </w:rPr>
                <w:t>tagoLocals</w:t>
              </w:r>
              <w:proofErr w:type="spellEnd"/>
            </w:hyperlink>
          </w:p>
        </w:tc>
      </w:tr>
      <w:tr w:rsidR="00793C3D" w:rsidRPr="00C32E3B" w14:paraId="422FEC49" w14:textId="77777777" w:rsidTr="00280F45">
        <w:tc>
          <w:tcPr>
            <w:tcW w:w="10632" w:type="dxa"/>
            <w:gridSpan w:val="2"/>
            <w:tcBorders>
              <w:top w:val="nil"/>
              <w:left w:val="single" w:sz="4" w:space="0" w:color="auto"/>
              <w:bottom w:val="nil"/>
              <w:right w:val="single" w:sz="4" w:space="0" w:color="auto"/>
            </w:tcBorders>
          </w:tcPr>
          <w:p w14:paraId="28683E6F" w14:textId="77777777" w:rsidR="00793C3D" w:rsidRPr="00B22DFD" w:rsidRDefault="00793C3D" w:rsidP="00793C3D">
            <w:pPr>
              <w:pStyle w:val="ListParagraph"/>
              <w:spacing w:before="60" w:after="0" w:line="240" w:lineRule="auto"/>
              <w:ind w:left="437"/>
              <w:rPr>
                <w:b/>
              </w:rPr>
            </w:pPr>
          </w:p>
        </w:tc>
      </w:tr>
      <w:tr w:rsidR="00A3426C" w:rsidRPr="00C32E3B" w14:paraId="7FEA279B" w14:textId="77777777" w:rsidTr="00280F45">
        <w:trPr>
          <w:trHeight w:val="408"/>
        </w:trPr>
        <w:tc>
          <w:tcPr>
            <w:tcW w:w="10632" w:type="dxa"/>
            <w:gridSpan w:val="2"/>
            <w:tcBorders>
              <w:top w:val="nil"/>
              <w:left w:val="single" w:sz="4" w:space="0" w:color="auto"/>
              <w:bottom w:val="nil"/>
              <w:right w:val="single" w:sz="4" w:space="0" w:color="auto"/>
            </w:tcBorders>
          </w:tcPr>
          <w:p w14:paraId="14F1161E" w14:textId="5231534F" w:rsidR="00A3426C" w:rsidRPr="00793C3D" w:rsidRDefault="00A3426C" w:rsidP="00793C3D">
            <w:pPr>
              <w:pStyle w:val="ListParagraph"/>
              <w:numPr>
                <w:ilvl w:val="0"/>
                <w:numId w:val="2"/>
              </w:numPr>
              <w:spacing w:before="60" w:after="0" w:line="240" w:lineRule="auto"/>
              <w:ind w:left="437" w:hanging="425"/>
            </w:pPr>
            <w:r w:rsidRPr="00B22DFD">
              <w:rPr>
                <w:b/>
              </w:rPr>
              <w:t>THE MĀORI CENTRE, TE HUKA MĀTAURAKA</w:t>
            </w:r>
            <w:r>
              <w:t xml:space="preserve"> offers a home-away-from-home for Māori students that provides academic and pastoral support. </w:t>
            </w:r>
            <w:hyperlink r:id="rId15" w:history="1">
              <w:r w:rsidRPr="00B22DFD">
                <w:rPr>
                  <w:rStyle w:val="Hyperlink"/>
                </w:rPr>
                <w:t>otago.ac.nz/</w:t>
              </w:r>
              <w:proofErr w:type="spellStart"/>
              <w:r w:rsidRPr="00B22DFD">
                <w:rPr>
                  <w:rStyle w:val="Hyperlink"/>
                </w:rPr>
                <w:t>maoricentre</w:t>
              </w:r>
              <w:proofErr w:type="spellEnd"/>
            </w:hyperlink>
          </w:p>
        </w:tc>
      </w:tr>
      <w:tr w:rsidR="00A3426C" w:rsidRPr="00C32E3B" w14:paraId="29CDCA7F" w14:textId="77777777" w:rsidTr="00280F45">
        <w:tc>
          <w:tcPr>
            <w:tcW w:w="10632" w:type="dxa"/>
            <w:gridSpan w:val="2"/>
            <w:tcBorders>
              <w:top w:val="nil"/>
              <w:left w:val="single" w:sz="4" w:space="0" w:color="auto"/>
              <w:bottom w:val="single" w:sz="4" w:space="0" w:color="auto"/>
              <w:right w:val="single" w:sz="4" w:space="0" w:color="auto"/>
            </w:tcBorders>
          </w:tcPr>
          <w:p w14:paraId="3BDD031E" w14:textId="77777777" w:rsidR="00A3426C" w:rsidRDefault="00A3426C" w:rsidP="00793C3D">
            <w:pPr>
              <w:pStyle w:val="ListParagraph"/>
            </w:pPr>
          </w:p>
          <w:p w14:paraId="28CD65A0" w14:textId="77777777" w:rsidR="00A3426C" w:rsidRPr="00DF364E" w:rsidRDefault="00A3426C" w:rsidP="00ED6CEA">
            <w:pPr>
              <w:pStyle w:val="ListParagraph"/>
              <w:numPr>
                <w:ilvl w:val="0"/>
                <w:numId w:val="2"/>
              </w:numPr>
              <w:spacing w:before="60" w:after="60" w:line="240" w:lineRule="auto"/>
              <w:ind w:left="437" w:hanging="425"/>
              <w:rPr>
                <w:b/>
              </w:rPr>
            </w:pPr>
            <w:r w:rsidRPr="0057201F">
              <w:rPr>
                <w:b/>
              </w:rPr>
              <w:t>THE PACIFIC ISLANDS CENTRE</w:t>
            </w:r>
            <w:r>
              <w:rPr>
                <w:b/>
              </w:rPr>
              <w:t xml:space="preserve"> </w:t>
            </w:r>
            <w:r>
              <w:t xml:space="preserve">provides academic and pastoral support to Pacific students. </w:t>
            </w:r>
            <w:hyperlink r:id="rId16" w:history="1">
              <w:r>
                <w:rPr>
                  <w:rStyle w:val="Hyperlink"/>
                </w:rPr>
                <w:t>o</w:t>
              </w:r>
              <w:r w:rsidRPr="0057201F">
                <w:rPr>
                  <w:rStyle w:val="Hyperlink"/>
                </w:rPr>
                <w:t>tago.ac.nz/pacific</w:t>
              </w:r>
            </w:hyperlink>
          </w:p>
          <w:p w14:paraId="5904C6EB" w14:textId="77777777" w:rsidR="00A3426C" w:rsidRDefault="00A3426C" w:rsidP="00793C3D">
            <w:pPr>
              <w:pStyle w:val="ListParagraph"/>
            </w:pPr>
          </w:p>
          <w:p w14:paraId="27500043" w14:textId="77777777" w:rsidR="00A3426C" w:rsidRDefault="00A3426C" w:rsidP="00ED6CEA">
            <w:pPr>
              <w:pStyle w:val="ListParagraph"/>
              <w:numPr>
                <w:ilvl w:val="0"/>
                <w:numId w:val="2"/>
              </w:numPr>
              <w:spacing w:before="60" w:after="60" w:line="240" w:lineRule="auto"/>
              <w:ind w:left="437" w:hanging="425"/>
            </w:pPr>
            <w:r w:rsidRPr="00891AF1">
              <w:rPr>
                <w:b/>
              </w:rPr>
              <w:t>L</w:t>
            </w:r>
            <w:r>
              <w:rPr>
                <w:b/>
              </w:rPr>
              <w:t>GBTIQ</w:t>
            </w:r>
            <w:r w:rsidRPr="00891AF1">
              <w:rPr>
                <w:b/>
              </w:rPr>
              <w:t>+ SUPPORT</w:t>
            </w:r>
            <w:r>
              <w:t xml:space="preserve"> is available through the OUSA. </w:t>
            </w:r>
            <w:hyperlink r:id="rId17" w:history="1">
              <w:r>
                <w:rPr>
                  <w:rStyle w:val="Hyperlink"/>
                </w:rPr>
                <w:t>o</w:t>
              </w:r>
              <w:r w:rsidRPr="00891AF1">
                <w:rPr>
                  <w:rStyle w:val="Hyperlink"/>
                </w:rPr>
                <w:t>usa.org.nz/queer-support</w:t>
              </w:r>
            </w:hyperlink>
          </w:p>
          <w:p w14:paraId="4326CA7B" w14:textId="77777777" w:rsidR="00A3426C" w:rsidRDefault="00A3426C" w:rsidP="00ED6CEA">
            <w:pPr>
              <w:pStyle w:val="ListParagraph"/>
            </w:pPr>
          </w:p>
          <w:p w14:paraId="423296BE" w14:textId="77777777" w:rsidR="00A3426C" w:rsidRPr="00C32E3B" w:rsidRDefault="00A3426C" w:rsidP="00ED6CEA">
            <w:pPr>
              <w:pStyle w:val="ListParagraph"/>
              <w:numPr>
                <w:ilvl w:val="0"/>
                <w:numId w:val="2"/>
              </w:numPr>
              <w:spacing w:before="60" w:after="60" w:line="240" w:lineRule="auto"/>
              <w:ind w:left="437" w:hanging="425"/>
            </w:pPr>
            <w:r w:rsidRPr="00823195">
              <w:rPr>
                <w:b/>
              </w:rPr>
              <w:t>INTERNATIONAL STUDENT ADVISERS</w:t>
            </w:r>
            <w:r>
              <w:t xml:space="preserve"> are available on a confidential basis to assist international students with any issues or questions that may arise during their time at Otago and can refer you to Student Visa Services as needed. </w:t>
            </w:r>
            <w:hyperlink r:id="rId18" w:history="1">
              <w:r w:rsidRPr="00823195">
                <w:rPr>
                  <w:rStyle w:val="Hyperlink"/>
                </w:rPr>
                <w:t>otago.ac.nz/international</w:t>
              </w:r>
            </w:hyperlink>
          </w:p>
        </w:tc>
      </w:tr>
      <w:tr w:rsidR="00A3426C" w:rsidRPr="00C32E3B" w14:paraId="5C2F56AE" w14:textId="77777777" w:rsidTr="00280F45">
        <w:trPr>
          <w:trHeight w:val="60"/>
        </w:trPr>
        <w:tc>
          <w:tcPr>
            <w:tcW w:w="851" w:type="dxa"/>
            <w:tcBorders>
              <w:top w:val="single" w:sz="4" w:space="0" w:color="auto"/>
              <w:left w:val="nil"/>
              <w:right w:val="nil"/>
            </w:tcBorders>
          </w:tcPr>
          <w:p w14:paraId="56DE2AF3" w14:textId="77777777" w:rsidR="00A3426C" w:rsidRPr="00C32E3B" w:rsidRDefault="00A3426C" w:rsidP="00ED6CEA"/>
        </w:tc>
        <w:tc>
          <w:tcPr>
            <w:tcW w:w="9781" w:type="dxa"/>
            <w:tcBorders>
              <w:top w:val="single" w:sz="4" w:space="0" w:color="auto"/>
              <w:left w:val="nil"/>
              <w:right w:val="nil"/>
            </w:tcBorders>
          </w:tcPr>
          <w:p w14:paraId="24228AB0" w14:textId="77777777" w:rsidR="00A3426C" w:rsidRPr="00C32E3B" w:rsidRDefault="00A3426C" w:rsidP="00ED6CEA">
            <w:pPr>
              <w:tabs>
                <w:tab w:val="left" w:pos="459"/>
              </w:tabs>
            </w:pPr>
          </w:p>
        </w:tc>
      </w:tr>
      <w:tr w:rsidR="00A3426C" w:rsidRPr="00C32E3B" w14:paraId="3F8A668E" w14:textId="77777777" w:rsidTr="00BE00F2">
        <w:trPr>
          <w:trHeight w:val="609"/>
        </w:trPr>
        <w:tc>
          <w:tcPr>
            <w:tcW w:w="10632" w:type="dxa"/>
            <w:gridSpan w:val="2"/>
            <w:shd w:val="clear" w:color="auto" w:fill="D9D9D9" w:themeFill="background1" w:themeFillShade="D9"/>
          </w:tcPr>
          <w:p w14:paraId="1F1D3BC3" w14:textId="77777777" w:rsidR="00A3426C" w:rsidRPr="00C473F4" w:rsidRDefault="00A3426C" w:rsidP="00ED6CEA">
            <w:pPr>
              <w:shd w:val="clear" w:color="auto" w:fill="D9D9D9" w:themeFill="background1" w:themeFillShade="D9"/>
              <w:spacing w:before="60" w:after="60"/>
              <w:ind w:left="459" w:hanging="459"/>
              <w:jc w:val="center"/>
              <w:rPr>
                <w:b/>
              </w:rPr>
            </w:pPr>
            <w:r>
              <w:rPr>
                <w:b/>
              </w:rPr>
              <w:t>WELLBEING ADVICE</w:t>
            </w:r>
          </w:p>
        </w:tc>
      </w:tr>
      <w:tr w:rsidR="00A3426C" w:rsidRPr="00C32E3B" w14:paraId="29B24A99" w14:textId="77777777" w:rsidTr="00280F45">
        <w:tc>
          <w:tcPr>
            <w:tcW w:w="10632" w:type="dxa"/>
            <w:gridSpan w:val="2"/>
            <w:tcBorders>
              <w:top w:val="nil"/>
              <w:left w:val="single" w:sz="4" w:space="0" w:color="auto"/>
              <w:bottom w:val="nil"/>
              <w:right w:val="single" w:sz="4" w:space="0" w:color="auto"/>
            </w:tcBorders>
          </w:tcPr>
          <w:p w14:paraId="3B8D30B3" w14:textId="77777777" w:rsidR="00A3426C" w:rsidRDefault="00A3426C" w:rsidP="00ED6CEA">
            <w:pPr>
              <w:pStyle w:val="ListParagraph"/>
              <w:numPr>
                <w:ilvl w:val="0"/>
                <w:numId w:val="2"/>
              </w:numPr>
              <w:tabs>
                <w:tab w:val="left" w:pos="459"/>
              </w:tabs>
              <w:spacing w:before="60" w:after="0" w:line="240" w:lineRule="auto"/>
              <w:ind w:left="437" w:hanging="425"/>
            </w:pPr>
            <w:r w:rsidRPr="00B22DFD">
              <w:rPr>
                <w:b/>
              </w:rPr>
              <w:t>STUDENT HEALTH</w:t>
            </w:r>
            <w:r>
              <w:t xml:space="preserve"> provides a comprehensive range of primary health care services to the student population, including doctors, nurses, mental health &amp; well-being, and psychiatry appointments. </w:t>
            </w:r>
            <w:hyperlink r:id="rId19" w:history="1">
              <w:r>
                <w:rPr>
                  <w:rStyle w:val="Hyperlink"/>
                </w:rPr>
                <w:t>o</w:t>
              </w:r>
              <w:r w:rsidRPr="003C1D1E">
                <w:rPr>
                  <w:rStyle w:val="Hyperlink"/>
                </w:rPr>
                <w:t>tago.ac.nz/</w:t>
              </w:r>
              <w:proofErr w:type="spellStart"/>
              <w:r w:rsidRPr="003C1D1E">
                <w:rPr>
                  <w:rStyle w:val="Hyperlink"/>
                </w:rPr>
                <w:t>studenthealth</w:t>
              </w:r>
              <w:proofErr w:type="spellEnd"/>
            </w:hyperlink>
          </w:p>
          <w:p w14:paraId="32921812" w14:textId="77777777" w:rsidR="00A3426C" w:rsidRPr="00C32E3B" w:rsidRDefault="00A3426C" w:rsidP="00ED6CEA">
            <w:pPr>
              <w:pStyle w:val="ListParagraph"/>
              <w:tabs>
                <w:tab w:val="left" w:pos="459"/>
              </w:tabs>
              <w:spacing w:before="60" w:after="0" w:line="240" w:lineRule="auto"/>
              <w:ind w:left="437"/>
            </w:pPr>
          </w:p>
        </w:tc>
      </w:tr>
      <w:tr w:rsidR="00A3426C" w:rsidRPr="00C32E3B" w14:paraId="583EC8FB" w14:textId="77777777" w:rsidTr="00280F45">
        <w:trPr>
          <w:trHeight w:val="756"/>
        </w:trPr>
        <w:tc>
          <w:tcPr>
            <w:tcW w:w="10632" w:type="dxa"/>
            <w:gridSpan w:val="2"/>
            <w:tcBorders>
              <w:top w:val="nil"/>
              <w:left w:val="single" w:sz="4" w:space="0" w:color="auto"/>
              <w:bottom w:val="single" w:sz="4" w:space="0" w:color="auto"/>
              <w:right w:val="single" w:sz="4" w:space="0" w:color="auto"/>
            </w:tcBorders>
          </w:tcPr>
          <w:p w14:paraId="37E4A42D" w14:textId="77777777" w:rsidR="00A3426C" w:rsidRDefault="00A3426C" w:rsidP="00ED6CEA">
            <w:pPr>
              <w:pStyle w:val="ListParagraph"/>
              <w:numPr>
                <w:ilvl w:val="0"/>
                <w:numId w:val="2"/>
              </w:numPr>
              <w:tabs>
                <w:tab w:val="left" w:pos="459"/>
              </w:tabs>
              <w:spacing w:before="60" w:after="60" w:line="240" w:lineRule="auto"/>
              <w:ind w:left="436" w:hanging="425"/>
            </w:pPr>
            <w:r w:rsidRPr="00B22DFD">
              <w:rPr>
                <w:b/>
              </w:rPr>
              <w:t>DISABILITIES INFORMATION AND SUPPORT</w:t>
            </w:r>
            <w:r>
              <w:t xml:space="preserve"> provides learning support, advice, advocacy and information to students with disabilities, impairments, medical conditions or injuries. </w:t>
            </w:r>
            <w:hyperlink r:id="rId20" w:history="1">
              <w:r>
                <w:rPr>
                  <w:rStyle w:val="Hyperlink"/>
                </w:rPr>
                <w:t>o</w:t>
              </w:r>
              <w:r w:rsidRPr="00E25C76">
                <w:rPr>
                  <w:rStyle w:val="Hyperlink"/>
                </w:rPr>
                <w:t>tago.ac.nz/disabilities</w:t>
              </w:r>
            </w:hyperlink>
          </w:p>
          <w:p w14:paraId="597B2EF5" w14:textId="77777777" w:rsidR="00A3426C" w:rsidRDefault="00A3426C" w:rsidP="00ED6CEA">
            <w:pPr>
              <w:pStyle w:val="ListParagraph"/>
              <w:tabs>
                <w:tab w:val="left" w:pos="459"/>
              </w:tabs>
              <w:spacing w:before="60" w:after="60" w:line="240" w:lineRule="auto"/>
              <w:ind w:left="436"/>
            </w:pPr>
          </w:p>
          <w:p w14:paraId="65C55A53" w14:textId="77777777" w:rsidR="00A3426C" w:rsidRPr="00280F45" w:rsidRDefault="00A3426C" w:rsidP="00ED6CEA">
            <w:pPr>
              <w:pStyle w:val="ListParagraph"/>
              <w:numPr>
                <w:ilvl w:val="0"/>
                <w:numId w:val="2"/>
              </w:numPr>
              <w:tabs>
                <w:tab w:val="left" w:pos="459"/>
              </w:tabs>
              <w:spacing w:before="60" w:after="60" w:line="240" w:lineRule="auto"/>
              <w:ind w:left="436" w:hanging="425"/>
              <w:rPr>
                <w:rFonts w:cstheme="minorHAnsi"/>
              </w:rPr>
            </w:pPr>
            <w:r w:rsidRPr="00B22DFD">
              <w:rPr>
                <w:b/>
              </w:rPr>
              <w:t>TE WHARE TĀWHARAU</w:t>
            </w:r>
            <w:r>
              <w:t xml:space="preserve"> provides a place of shelter to reduce the impact of sexual violence within our campus communities. </w:t>
            </w:r>
            <w:hyperlink r:id="rId21" w:history="1">
              <w:proofErr w:type="spellStart"/>
              <w:r w:rsidRPr="00280F45">
                <w:rPr>
                  <w:rFonts w:eastAsia="Times New Roman" w:cstheme="minorHAnsi"/>
                  <w:color w:val="0000FF"/>
                  <w:u w:val="single"/>
                  <w:lang w:val="en-GB" w:eastAsia="en-GB"/>
                </w:rPr>
                <w:t>otago</w:t>
              </w:r>
              <w:proofErr w:type="spellEnd"/>
              <w:r w:rsidRPr="00280F45">
                <w:rPr>
                  <w:rFonts w:eastAsia="Times New Roman" w:cstheme="minorHAnsi"/>
                  <w:color w:val="0000FF"/>
                  <w:u w:val="single"/>
                  <w:lang w:val="en-GB" w:eastAsia="en-GB"/>
                </w:rPr>
                <w:t>/ac.nz/</w:t>
              </w:r>
              <w:proofErr w:type="spellStart"/>
              <w:r w:rsidRPr="00280F45">
                <w:rPr>
                  <w:rFonts w:eastAsia="Times New Roman" w:cstheme="minorHAnsi"/>
                  <w:color w:val="0000FF"/>
                  <w:u w:val="single"/>
                  <w:lang w:val="en-GB" w:eastAsia="en-GB"/>
                </w:rPr>
                <w:t>te</w:t>
              </w:r>
              <w:proofErr w:type="spellEnd"/>
              <w:r w:rsidRPr="00280F45">
                <w:rPr>
                  <w:rFonts w:eastAsia="Times New Roman" w:cstheme="minorHAnsi"/>
                  <w:color w:val="0000FF"/>
                  <w:u w:val="single"/>
                  <w:lang w:val="en-GB" w:eastAsia="en-GB"/>
                </w:rPr>
                <w:t>-whare-</w:t>
              </w:r>
              <w:proofErr w:type="spellStart"/>
              <w:r w:rsidRPr="00280F45">
                <w:rPr>
                  <w:rFonts w:eastAsia="Times New Roman" w:cstheme="minorHAnsi"/>
                  <w:color w:val="0000FF"/>
                  <w:u w:val="single"/>
                  <w:lang w:val="en-GB" w:eastAsia="en-GB"/>
                </w:rPr>
                <w:t>tawharau</w:t>
              </w:r>
              <w:proofErr w:type="spellEnd"/>
            </w:hyperlink>
          </w:p>
          <w:p w14:paraId="5F26FC84" w14:textId="77777777" w:rsidR="00A3426C" w:rsidRPr="00280F45" w:rsidRDefault="00A3426C" w:rsidP="00ED6CEA">
            <w:pPr>
              <w:pStyle w:val="ListParagraph"/>
              <w:rPr>
                <w:rFonts w:cstheme="minorHAnsi"/>
              </w:rPr>
            </w:pPr>
          </w:p>
          <w:p w14:paraId="4FE9D28A" w14:textId="1A9CA521" w:rsidR="00A3426C" w:rsidRPr="00C32E3B" w:rsidRDefault="00A3426C" w:rsidP="00280F45">
            <w:pPr>
              <w:pStyle w:val="ListParagraph"/>
              <w:numPr>
                <w:ilvl w:val="0"/>
                <w:numId w:val="2"/>
              </w:numPr>
              <w:tabs>
                <w:tab w:val="left" w:pos="459"/>
              </w:tabs>
              <w:spacing w:before="60" w:after="60" w:line="240" w:lineRule="auto"/>
              <w:ind w:left="436" w:hanging="425"/>
            </w:pPr>
            <w:r w:rsidRPr="006C726F">
              <w:rPr>
                <w:b/>
              </w:rPr>
              <w:t>UNIVERSITY CHAPLAINCY TEAM</w:t>
            </w:r>
            <w:r>
              <w:t xml:space="preserve"> provides pastoral care, spiritual support and guidance, prayer, help with homesickness or grief, or just a listening ear regardless of beliefs. </w:t>
            </w:r>
            <w:hyperlink r:id="rId22" w:history="1">
              <w:r>
                <w:rPr>
                  <w:rStyle w:val="Hyperlink"/>
                </w:rPr>
                <w:t>o</w:t>
              </w:r>
              <w:r w:rsidRPr="00E25C76">
                <w:rPr>
                  <w:rStyle w:val="Hyperlink"/>
                </w:rPr>
                <w:t>tago.ac.nz/chaplain</w:t>
              </w:r>
            </w:hyperlink>
          </w:p>
        </w:tc>
      </w:tr>
    </w:tbl>
    <w:p w14:paraId="54F19B7F" w14:textId="47D95A0B" w:rsidR="00601CC3" w:rsidRDefault="00A3426C">
      <w:pPr>
        <w:rPr>
          <w:rFonts w:asciiTheme="minorHAnsi" w:hAnsiTheme="minorHAnsi"/>
          <w:b/>
        </w:rPr>
      </w:pPr>
      <w:r>
        <w:rPr>
          <w:rFonts w:asciiTheme="minorHAnsi" w:hAnsiTheme="minorHAnsi"/>
          <w:b/>
        </w:rPr>
        <w:br w:type="page"/>
      </w:r>
    </w:p>
    <w:p w14:paraId="53E74535" w14:textId="77777777" w:rsidR="00375DDC" w:rsidRPr="00375DDC" w:rsidRDefault="00375DDC" w:rsidP="00B13DC4">
      <w:pPr>
        <w:spacing w:after="60"/>
        <w:jc w:val="center"/>
        <w:rPr>
          <w:rFonts w:asciiTheme="minorHAnsi" w:hAnsiTheme="minorHAnsi"/>
          <w:b/>
        </w:rPr>
      </w:pPr>
      <w:r w:rsidRPr="00375DDC">
        <w:rPr>
          <w:rFonts w:asciiTheme="minorHAnsi" w:hAnsiTheme="minorHAnsi"/>
          <w:b/>
        </w:rPr>
        <w:lastRenderedPageBreak/>
        <w:t>University of Otago</w:t>
      </w:r>
    </w:p>
    <w:p w14:paraId="6A56D592" w14:textId="77777777" w:rsidR="00375DDC" w:rsidRPr="00375DDC" w:rsidRDefault="00375DDC" w:rsidP="009C6264">
      <w:pPr>
        <w:spacing w:after="120"/>
        <w:jc w:val="center"/>
        <w:rPr>
          <w:rFonts w:asciiTheme="minorHAnsi" w:hAnsiTheme="minorHAnsi"/>
          <w:b/>
          <w:sz w:val="32"/>
          <w:szCs w:val="32"/>
        </w:rPr>
      </w:pPr>
      <w:r w:rsidRPr="00375DDC">
        <w:rPr>
          <w:rFonts w:asciiTheme="minorHAnsi" w:hAnsiTheme="minorHAnsi"/>
          <w:b/>
          <w:sz w:val="32"/>
          <w:szCs w:val="32"/>
        </w:rPr>
        <w:t>Schedule of Outcomes where Academic Misconduct is Proven</w:t>
      </w:r>
    </w:p>
    <w:tbl>
      <w:tblPr>
        <w:tblStyle w:val="TableGrid"/>
        <w:tblW w:w="10632" w:type="dxa"/>
        <w:tblInd w:w="-998" w:type="dxa"/>
        <w:tblLook w:val="04A0" w:firstRow="1" w:lastRow="0" w:firstColumn="1" w:lastColumn="0" w:noHBand="0" w:noVBand="1"/>
      </w:tblPr>
      <w:tblGrid>
        <w:gridCol w:w="851"/>
        <w:gridCol w:w="9781"/>
      </w:tblGrid>
      <w:tr w:rsidR="00375DDC" w:rsidRPr="00C32E3B" w14:paraId="2EAB066E" w14:textId="77777777" w:rsidTr="00280F45">
        <w:tc>
          <w:tcPr>
            <w:tcW w:w="10632" w:type="dxa"/>
            <w:gridSpan w:val="2"/>
            <w:shd w:val="clear" w:color="auto" w:fill="D9D9D9" w:themeFill="background1" w:themeFillShade="D9"/>
          </w:tcPr>
          <w:p w14:paraId="204C41A5" w14:textId="77777777" w:rsidR="00375DDC" w:rsidRDefault="00375DDC" w:rsidP="00B13DC4">
            <w:pPr>
              <w:spacing w:before="60" w:after="60"/>
              <w:jc w:val="center"/>
              <w:rPr>
                <w:i/>
              </w:rPr>
            </w:pPr>
            <w:r w:rsidRPr="00C32E3B">
              <w:rPr>
                <w:b/>
              </w:rPr>
              <w:t xml:space="preserve">LEVEL ONE </w:t>
            </w:r>
            <w:r>
              <w:rPr>
                <w:b/>
              </w:rPr>
              <w:t>MISCONDUCT</w:t>
            </w:r>
            <w:r w:rsidRPr="00C32E3B">
              <w:rPr>
                <w:i/>
              </w:rPr>
              <w:t xml:space="preserve"> </w:t>
            </w:r>
          </w:p>
          <w:p w14:paraId="287F173B" w14:textId="77777777" w:rsidR="00375DDC" w:rsidRPr="00375DDC" w:rsidRDefault="00375DDC" w:rsidP="00CB78DF">
            <w:pPr>
              <w:spacing w:before="60" w:after="60"/>
              <w:rPr>
                <w:i/>
                <w:sz w:val="22"/>
                <w:szCs w:val="22"/>
              </w:rPr>
            </w:pPr>
            <w:r w:rsidRPr="00375DDC">
              <w:rPr>
                <w:i/>
                <w:sz w:val="22"/>
                <w:szCs w:val="22"/>
              </w:rPr>
              <w:t>For Level One academic misconduct the University will take one or more of the following educative actions</w:t>
            </w:r>
            <w:r w:rsidR="00CB78DF">
              <w:rPr>
                <w:i/>
                <w:sz w:val="22"/>
                <w:szCs w:val="22"/>
              </w:rPr>
              <w:t xml:space="preserve"> and</w:t>
            </w:r>
            <w:r w:rsidRPr="00375DDC">
              <w:rPr>
                <w:i/>
                <w:sz w:val="22"/>
                <w:szCs w:val="22"/>
              </w:rPr>
              <w:t xml:space="preserve"> may make a mark adjustment to ensure no academic advantage is gained from the misconduct:  </w:t>
            </w:r>
          </w:p>
        </w:tc>
      </w:tr>
      <w:tr w:rsidR="00375DDC" w:rsidRPr="00C32E3B" w14:paraId="458CB93A" w14:textId="77777777" w:rsidTr="00280F45">
        <w:tc>
          <w:tcPr>
            <w:tcW w:w="851" w:type="dxa"/>
            <w:vMerge w:val="restart"/>
            <w:tcBorders>
              <w:right w:val="single" w:sz="4" w:space="0" w:color="auto"/>
            </w:tcBorders>
            <w:shd w:val="clear" w:color="auto" w:fill="D9D9D9" w:themeFill="background1" w:themeFillShade="D9"/>
            <w:textDirection w:val="btLr"/>
          </w:tcPr>
          <w:p w14:paraId="72227530" w14:textId="77777777" w:rsidR="00375DDC" w:rsidRPr="00C32E3B" w:rsidRDefault="00375DDC" w:rsidP="000D3221">
            <w:pPr>
              <w:spacing w:before="120" w:after="120"/>
              <w:ind w:left="113" w:right="113"/>
              <w:jc w:val="center"/>
            </w:pPr>
            <w:r>
              <w:t>Educative Actions</w:t>
            </w:r>
          </w:p>
        </w:tc>
        <w:tc>
          <w:tcPr>
            <w:tcW w:w="9781" w:type="dxa"/>
            <w:tcBorders>
              <w:top w:val="nil"/>
              <w:left w:val="single" w:sz="4" w:space="0" w:color="auto"/>
              <w:bottom w:val="nil"/>
              <w:right w:val="single" w:sz="4" w:space="0" w:color="auto"/>
            </w:tcBorders>
          </w:tcPr>
          <w:p w14:paraId="2EF69A5D" w14:textId="77777777" w:rsidR="00375DDC" w:rsidRPr="009C6264" w:rsidRDefault="00375DDC" w:rsidP="00375DDC">
            <w:pPr>
              <w:pStyle w:val="ListParagraph"/>
              <w:numPr>
                <w:ilvl w:val="0"/>
                <w:numId w:val="2"/>
              </w:numPr>
              <w:tabs>
                <w:tab w:val="left" w:pos="459"/>
              </w:tabs>
              <w:spacing w:before="60" w:after="0" w:line="240" w:lineRule="auto"/>
              <w:ind w:left="437" w:hanging="425"/>
              <w:rPr>
                <w:b/>
              </w:rPr>
            </w:pPr>
            <w:r>
              <w:t>A</w:t>
            </w:r>
            <w:r w:rsidRPr="00C32E3B">
              <w:t xml:space="preserve"> warning </w:t>
            </w:r>
            <w:r>
              <w:t>including</w:t>
            </w:r>
            <w:r w:rsidRPr="00C32E3B">
              <w:t xml:space="preserve"> information about the University’s Academic Integrity Policy and resources tha</w:t>
            </w:r>
            <w:r>
              <w:t>t are available to support the P</w:t>
            </w:r>
            <w:r w:rsidRPr="00C32E3B">
              <w:t xml:space="preserve">olicy. </w:t>
            </w:r>
          </w:p>
        </w:tc>
      </w:tr>
      <w:tr w:rsidR="00375DDC" w:rsidRPr="00C32E3B" w14:paraId="5FD7DF3C" w14:textId="77777777" w:rsidTr="00280F45">
        <w:tc>
          <w:tcPr>
            <w:tcW w:w="851" w:type="dxa"/>
            <w:vMerge/>
            <w:tcBorders>
              <w:right w:val="single" w:sz="4" w:space="0" w:color="auto"/>
            </w:tcBorders>
            <w:shd w:val="clear" w:color="auto" w:fill="D9D9D9" w:themeFill="background1" w:themeFillShade="D9"/>
          </w:tcPr>
          <w:p w14:paraId="42AABEEF" w14:textId="77777777" w:rsidR="00375DDC" w:rsidRPr="00C32E3B" w:rsidRDefault="00375DDC" w:rsidP="00C32E3B">
            <w:pPr>
              <w:spacing w:after="200" w:line="276" w:lineRule="auto"/>
            </w:pPr>
          </w:p>
        </w:tc>
        <w:tc>
          <w:tcPr>
            <w:tcW w:w="9781" w:type="dxa"/>
            <w:tcBorders>
              <w:top w:val="nil"/>
              <w:left w:val="single" w:sz="4" w:space="0" w:color="auto"/>
              <w:bottom w:val="nil"/>
              <w:right w:val="single" w:sz="4" w:space="0" w:color="auto"/>
            </w:tcBorders>
          </w:tcPr>
          <w:p w14:paraId="2B6BC100" w14:textId="0C694A5A" w:rsidR="00375DDC" w:rsidRPr="00C32E3B" w:rsidRDefault="00375DDC" w:rsidP="00363C29">
            <w:pPr>
              <w:pStyle w:val="ListParagraph"/>
              <w:numPr>
                <w:ilvl w:val="0"/>
                <w:numId w:val="2"/>
              </w:numPr>
              <w:spacing w:before="60" w:after="0" w:line="240" w:lineRule="auto"/>
              <w:ind w:left="437" w:hanging="425"/>
            </w:pPr>
            <w:r>
              <w:t xml:space="preserve">Requirement to undertake personal consultancy with a Learning Adviser at </w:t>
            </w:r>
            <w:r w:rsidR="0058552B">
              <w:t xml:space="preserve">Student Learning Development </w:t>
            </w:r>
            <w:r>
              <w:t>within one month of receiving the letter advising of this outcome.</w:t>
            </w:r>
          </w:p>
        </w:tc>
      </w:tr>
      <w:tr w:rsidR="00375DDC" w:rsidRPr="00C32E3B" w14:paraId="668B5613" w14:textId="77777777" w:rsidTr="00280F45">
        <w:trPr>
          <w:trHeight w:val="408"/>
        </w:trPr>
        <w:tc>
          <w:tcPr>
            <w:tcW w:w="851" w:type="dxa"/>
            <w:vMerge/>
            <w:tcBorders>
              <w:right w:val="single" w:sz="4" w:space="0" w:color="auto"/>
            </w:tcBorders>
            <w:shd w:val="clear" w:color="auto" w:fill="D9D9D9" w:themeFill="background1" w:themeFillShade="D9"/>
          </w:tcPr>
          <w:p w14:paraId="779BF083" w14:textId="77777777" w:rsidR="00375DDC" w:rsidRPr="00C32E3B" w:rsidRDefault="00375DDC" w:rsidP="00C32E3B">
            <w:pPr>
              <w:spacing w:after="200" w:line="276" w:lineRule="auto"/>
            </w:pPr>
          </w:p>
        </w:tc>
        <w:tc>
          <w:tcPr>
            <w:tcW w:w="9781" w:type="dxa"/>
            <w:tcBorders>
              <w:top w:val="nil"/>
              <w:left w:val="single" w:sz="4" w:space="0" w:color="auto"/>
              <w:bottom w:val="nil"/>
              <w:right w:val="single" w:sz="4" w:space="0" w:color="auto"/>
            </w:tcBorders>
          </w:tcPr>
          <w:p w14:paraId="3466CB20" w14:textId="77777777" w:rsidR="00375DDC" w:rsidRPr="00C32E3B" w:rsidRDefault="00375DDC" w:rsidP="00375DDC">
            <w:pPr>
              <w:pStyle w:val="ListParagraph"/>
              <w:numPr>
                <w:ilvl w:val="0"/>
                <w:numId w:val="2"/>
              </w:numPr>
              <w:spacing w:before="60" w:after="0" w:line="240" w:lineRule="auto"/>
              <w:ind w:left="437" w:hanging="425"/>
            </w:pPr>
            <w:r>
              <w:t>Requirement to complete a supplementary, formative reflective assessment on academic integrity.</w:t>
            </w:r>
          </w:p>
        </w:tc>
      </w:tr>
      <w:tr w:rsidR="00375DDC" w:rsidRPr="00C32E3B" w14:paraId="263C02FF" w14:textId="77777777" w:rsidTr="00280F45">
        <w:tc>
          <w:tcPr>
            <w:tcW w:w="851" w:type="dxa"/>
            <w:vMerge/>
            <w:tcBorders>
              <w:bottom w:val="single" w:sz="4" w:space="0" w:color="auto"/>
              <w:right w:val="single" w:sz="4" w:space="0" w:color="auto"/>
            </w:tcBorders>
            <w:shd w:val="clear" w:color="auto" w:fill="D9D9D9" w:themeFill="background1" w:themeFillShade="D9"/>
          </w:tcPr>
          <w:p w14:paraId="0A7213BD" w14:textId="77777777" w:rsidR="00375DDC" w:rsidRPr="00C32E3B" w:rsidRDefault="00375DDC" w:rsidP="00C32E3B">
            <w:pPr>
              <w:spacing w:after="200" w:line="276" w:lineRule="auto"/>
            </w:pPr>
          </w:p>
        </w:tc>
        <w:tc>
          <w:tcPr>
            <w:tcW w:w="9781" w:type="dxa"/>
            <w:tcBorders>
              <w:top w:val="nil"/>
              <w:left w:val="single" w:sz="4" w:space="0" w:color="auto"/>
              <w:bottom w:val="single" w:sz="4" w:space="0" w:color="auto"/>
              <w:right w:val="single" w:sz="4" w:space="0" w:color="auto"/>
            </w:tcBorders>
          </w:tcPr>
          <w:p w14:paraId="556BDE4D" w14:textId="77777777" w:rsidR="00375DDC" w:rsidRPr="00C32E3B" w:rsidRDefault="00375DDC" w:rsidP="00375DDC">
            <w:pPr>
              <w:pStyle w:val="ListParagraph"/>
              <w:numPr>
                <w:ilvl w:val="0"/>
                <w:numId w:val="2"/>
              </w:numPr>
              <w:spacing w:before="60" w:after="60" w:line="240" w:lineRule="auto"/>
              <w:ind w:left="437" w:hanging="425"/>
            </w:pPr>
            <w:r>
              <w:t xml:space="preserve">Requirement </w:t>
            </w:r>
            <w:r w:rsidRPr="000D3221">
              <w:t>to submit a new or revised version of the assessment affected by the academic misconduct, with the mark awarded for the resubmitted assessment not to exceed the original mark</w:t>
            </w:r>
            <w:r>
              <w:t xml:space="preserve"> (after any adjustments as below).</w:t>
            </w:r>
          </w:p>
        </w:tc>
      </w:tr>
      <w:tr w:rsidR="00375DDC" w:rsidRPr="00C32E3B" w14:paraId="27536A36" w14:textId="77777777" w:rsidTr="00280F45">
        <w:trPr>
          <w:cantSplit/>
          <w:trHeight w:val="80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674BAE00" w14:textId="77777777" w:rsidR="00375DDC" w:rsidRPr="00C32E3B" w:rsidRDefault="00375DDC" w:rsidP="00A46097">
            <w:pPr>
              <w:ind w:left="113" w:right="113"/>
              <w:jc w:val="center"/>
            </w:pPr>
            <w:r>
              <w:t>Mark Adjust</w:t>
            </w:r>
          </w:p>
        </w:tc>
        <w:tc>
          <w:tcPr>
            <w:tcW w:w="9781" w:type="dxa"/>
            <w:tcBorders>
              <w:top w:val="nil"/>
              <w:left w:val="single" w:sz="4" w:space="0" w:color="auto"/>
              <w:bottom w:val="single" w:sz="4" w:space="0" w:color="auto"/>
              <w:right w:val="single" w:sz="4" w:space="0" w:color="auto"/>
            </w:tcBorders>
          </w:tcPr>
          <w:p w14:paraId="5D5F2D22" w14:textId="77777777" w:rsidR="00375DDC" w:rsidRDefault="00375DDC" w:rsidP="00CB78DF">
            <w:pPr>
              <w:pStyle w:val="ListParagraph"/>
              <w:numPr>
                <w:ilvl w:val="0"/>
                <w:numId w:val="2"/>
              </w:numPr>
              <w:tabs>
                <w:tab w:val="left" w:pos="459"/>
              </w:tabs>
              <w:spacing w:before="60" w:after="60" w:line="240" w:lineRule="auto"/>
              <w:ind w:left="436" w:hanging="425"/>
            </w:pPr>
            <w:r>
              <w:t xml:space="preserve">A reduction in </w:t>
            </w:r>
            <w:r w:rsidRPr="00FF760E">
              <w:t xml:space="preserve">mark </w:t>
            </w:r>
            <w:r>
              <w:t>for</w:t>
            </w:r>
            <w:r w:rsidRPr="00FF760E">
              <w:t xml:space="preserve"> the affected assessment </w:t>
            </w:r>
            <w:r>
              <w:t xml:space="preserve">of up to 50% of the total marks available for </w:t>
            </w:r>
            <w:r w:rsidRPr="00FF760E">
              <w:t>the assessment</w:t>
            </w:r>
            <w:r>
              <w:t xml:space="preserve">, taking into account </w:t>
            </w:r>
            <w:r w:rsidRPr="00FF760E">
              <w:t>any reduction in marks already imposed</w:t>
            </w:r>
            <w:r>
              <w:t xml:space="preserve"> during marking (this is an adjustment to remove any advantage from misconduct, not a penalty beyond this).</w:t>
            </w:r>
          </w:p>
        </w:tc>
      </w:tr>
      <w:tr w:rsidR="00375DDC" w:rsidRPr="00C32E3B" w14:paraId="4858AF81" w14:textId="77777777" w:rsidTr="00280F45">
        <w:trPr>
          <w:trHeight w:val="60"/>
        </w:trPr>
        <w:tc>
          <w:tcPr>
            <w:tcW w:w="851" w:type="dxa"/>
            <w:tcBorders>
              <w:top w:val="single" w:sz="4" w:space="0" w:color="auto"/>
              <w:left w:val="nil"/>
              <w:right w:val="nil"/>
            </w:tcBorders>
          </w:tcPr>
          <w:p w14:paraId="461E72EF" w14:textId="77777777" w:rsidR="00375DDC" w:rsidRPr="00C32E3B" w:rsidRDefault="00375DDC" w:rsidP="00225B7F"/>
        </w:tc>
        <w:tc>
          <w:tcPr>
            <w:tcW w:w="9781" w:type="dxa"/>
            <w:tcBorders>
              <w:top w:val="single" w:sz="4" w:space="0" w:color="auto"/>
              <w:left w:val="nil"/>
              <w:right w:val="nil"/>
            </w:tcBorders>
          </w:tcPr>
          <w:p w14:paraId="192C0215" w14:textId="77777777" w:rsidR="00375DDC" w:rsidRPr="00C32E3B" w:rsidRDefault="00375DDC" w:rsidP="00225B7F">
            <w:pPr>
              <w:tabs>
                <w:tab w:val="left" w:pos="459"/>
              </w:tabs>
            </w:pPr>
          </w:p>
        </w:tc>
      </w:tr>
      <w:tr w:rsidR="00375DDC" w:rsidRPr="00C32E3B" w14:paraId="5810EFFA" w14:textId="77777777" w:rsidTr="00280F45">
        <w:trPr>
          <w:trHeight w:val="706"/>
        </w:trPr>
        <w:tc>
          <w:tcPr>
            <w:tcW w:w="10632" w:type="dxa"/>
            <w:gridSpan w:val="2"/>
            <w:shd w:val="clear" w:color="auto" w:fill="D9D9D9" w:themeFill="background1" w:themeFillShade="D9"/>
          </w:tcPr>
          <w:p w14:paraId="0D51B378" w14:textId="77777777" w:rsidR="00375DDC" w:rsidRPr="00225B7F" w:rsidRDefault="00375DDC" w:rsidP="00B13DC4">
            <w:pPr>
              <w:shd w:val="clear" w:color="auto" w:fill="D9D9D9" w:themeFill="background1" w:themeFillShade="D9"/>
              <w:spacing w:before="60" w:after="60"/>
              <w:ind w:left="459" w:hanging="459"/>
              <w:jc w:val="center"/>
              <w:rPr>
                <w:b/>
              </w:rPr>
            </w:pPr>
            <w:r w:rsidRPr="004E115C">
              <w:rPr>
                <w:b/>
              </w:rPr>
              <w:t xml:space="preserve">LEVEL TWO </w:t>
            </w:r>
            <w:r>
              <w:rPr>
                <w:b/>
              </w:rPr>
              <w:t>MISCONDUCT</w:t>
            </w:r>
          </w:p>
          <w:p w14:paraId="125EC0A3" w14:textId="77777777" w:rsidR="00375DDC" w:rsidRPr="0058552B" w:rsidRDefault="00375DDC" w:rsidP="0058552B">
            <w:pPr>
              <w:shd w:val="clear" w:color="auto" w:fill="D9D9D9" w:themeFill="background1" w:themeFillShade="D9"/>
              <w:spacing w:before="60" w:after="60"/>
              <w:rPr>
                <w:b/>
                <w:sz w:val="22"/>
                <w:szCs w:val="22"/>
              </w:rPr>
            </w:pPr>
            <w:r w:rsidRPr="0058552B">
              <w:rPr>
                <w:i/>
                <w:sz w:val="22"/>
                <w:szCs w:val="22"/>
              </w:rPr>
              <w:t>For Level Two academic misconduct the University will take at least one of the educative actions and impose one of the penalties listed below</w:t>
            </w:r>
            <w:r w:rsidR="0058552B">
              <w:rPr>
                <w:i/>
                <w:sz w:val="22"/>
                <w:szCs w:val="22"/>
              </w:rPr>
              <w:t>:</w:t>
            </w:r>
          </w:p>
        </w:tc>
      </w:tr>
      <w:tr w:rsidR="00375DDC" w:rsidRPr="00C32E3B" w14:paraId="5CBED06C" w14:textId="77777777" w:rsidTr="00280F45">
        <w:tc>
          <w:tcPr>
            <w:tcW w:w="851" w:type="dxa"/>
            <w:vMerge w:val="restart"/>
            <w:tcBorders>
              <w:right w:val="single" w:sz="4" w:space="0" w:color="auto"/>
            </w:tcBorders>
            <w:shd w:val="clear" w:color="auto" w:fill="D9D9D9" w:themeFill="background1" w:themeFillShade="D9"/>
            <w:textDirection w:val="btLr"/>
          </w:tcPr>
          <w:p w14:paraId="1CD31D98" w14:textId="77777777" w:rsidR="00375DDC" w:rsidRPr="00C32E3B" w:rsidRDefault="00375DDC" w:rsidP="00A46097">
            <w:pPr>
              <w:ind w:left="113" w:right="113"/>
              <w:jc w:val="center"/>
            </w:pPr>
            <w:r>
              <w:t>Educative Actions</w:t>
            </w:r>
          </w:p>
        </w:tc>
        <w:tc>
          <w:tcPr>
            <w:tcW w:w="9781" w:type="dxa"/>
            <w:tcBorders>
              <w:top w:val="nil"/>
              <w:left w:val="single" w:sz="4" w:space="0" w:color="auto"/>
              <w:bottom w:val="nil"/>
              <w:right w:val="single" w:sz="4" w:space="0" w:color="auto"/>
            </w:tcBorders>
          </w:tcPr>
          <w:p w14:paraId="6A23068A" w14:textId="3E5613D2" w:rsidR="00375DDC" w:rsidRPr="00C32E3B" w:rsidRDefault="00375DDC" w:rsidP="00363C29">
            <w:pPr>
              <w:pStyle w:val="ListParagraph"/>
              <w:numPr>
                <w:ilvl w:val="0"/>
                <w:numId w:val="2"/>
              </w:numPr>
              <w:tabs>
                <w:tab w:val="left" w:pos="459"/>
              </w:tabs>
              <w:spacing w:before="60" w:after="0" w:line="240" w:lineRule="auto"/>
              <w:ind w:left="437" w:hanging="425"/>
            </w:pPr>
            <w:r>
              <w:t xml:space="preserve">Requirement to undertake personal consultancy with a Learning Adviser at </w:t>
            </w:r>
            <w:r w:rsidR="0058552B">
              <w:t xml:space="preserve">Student Learning Development </w:t>
            </w:r>
            <w:r>
              <w:t>within one month of receiving the letter advising of this outcome.</w:t>
            </w:r>
          </w:p>
        </w:tc>
      </w:tr>
      <w:tr w:rsidR="00375DDC" w:rsidRPr="00C32E3B" w14:paraId="5886E90A" w14:textId="77777777" w:rsidTr="00B07F67">
        <w:trPr>
          <w:trHeight w:val="617"/>
        </w:trPr>
        <w:tc>
          <w:tcPr>
            <w:tcW w:w="851" w:type="dxa"/>
            <w:vMerge/>
            <w:tcBorders>
              <w:bottom w:val="single" w:sz="4" w:space="0" w:color="auto"/>
              <w:right w:val="single" w:sz="4" w:space="0" w:color="auto"/>
            </w:tcBorders>
            <w:shd w:val="clear" w:color="auto" w:fill="D9D9D9" w:themeFill="background1" w:themeFillShade="D9"/>
          </w:tcPr>
          <w:p w14:paraId="1F4E957B" w14:textId="77777777" w:rsidR="00375DDC" w:rsidRPr="00C32E3B" w:rsidRDefault="00375DDC" w:rsidP="00C32E3B">
            <w:pPr>
              <w:spacing w:before="120" w:after="120"/>
            </w:pPr>
          </w:p>
        </w:tc>
        <w:tc>
          <w:tcPr>
            <w:tcW w:w="9781" w:type="dxa"/>
            <w:tcBorders>
              <w:top w:val="nil"/>
              <w:left w:val="single" w:sz="4" w:space="0" w:color="auto"/>
              <w:bottom w:val="single" w:sz="4" w:space="0" w:color="auto"/>
              <w:right w:val="single" w:sz="4" w:space="0" w:color="auto"/>
            </w:tcBorders>
          </w:tcPr>
          <w:p w14:paraId="24C945C9" w14:textId="77777777" w:rsidR="00375DDC" w:rsidRPr="00C32E3B" w:rsidRDefault="00375DDC" w:rsidP="00375DDC">
            <w:pPr>
              <w:pStyle w:val="ListParagraph"/>
              <w:numPr>
                <w:ilvl w:val="0"/>
                <w:numId w:val="2"/>
              </w:numPr>
              <w:tabs>
                <w:tab w:val="left" w:pos="459"/>
              </w:tabs>
              <w:spacing w:before="60" w:after="60" w:line="240" w:lineRule="auto"/>
              <w:ind w:left="436" w:hanging="425"/>
            </w:pPr>
            <w:r>
              <w:t>Requirement to complete a supplementary, formative reflective assessment on academic integrity.</w:t>
            </w:r>
          </w:p>
        </w:tc>
      </w:tr>
      <w:tr w:rsidR="00375DDC" w:rsidRPr="00C32E3B" w14:paraId="5C471415" w14:textId="77777777" w:rsidTr="00280F45">
        <w:tc>
          <w:tcPr>
            <w:tcW w:w="851" w:type="dxa"/>
            <w:vMerge w:val="restart"/>
            <w:tcBorders>
              <w:top w:val="single" w:sz="4" w:space="0" w:color="auto"/>
              <w:left w:val="single" w:sz="4" w:space="0" w:color="auto"/>
              <w:right w:val="single" w:sz="4" w:space="0" w:color="auto"/>
            </w:tcBorders>
            <w:shd w:val="clear" w:color="auto" w:fill="D9D9D9" w:themeFill="background1" w:themeFillShade="D9"/>
            <w:textDirection w:val="btLr"/>
          </w:tcPr>
          <w:p w14:paraId="4AA7073D" w14:textId="77777777" w:rsidR="00375DDC" w:rsidRPr="00C32E3B" w:rsidRDefault="00375DDC" w:rsidP="00EB3988">
            <w:pPr>
              <w:spacing w:before="120" w:after="120"/>
              <w:ind w:left="113" w:right="113"/>
              <w:jc w:val="center"/>
            </w:pPr>
            <w:r>
              <w:t>Penalties</w:t>
            </w:r>
          </w:p>
        </w:tc>
        <w:tc>
          <w:tcPr>
            <w:tcW w:w="9781" w:type="dxa"/>
            <w:tcBorders>
              <w:top w:val="single" w:sz="4" w:space="0" w:color="auto"/>
              <w:left w:val="single" w:sz="4" w:space="0" w:color="auto"/>
              <w:bottom w:val="nil"/>
            </w:tcBorders>
          </w:tcPr>
          <w:p w14:paraId="04CD8A80" w14:textId="77777777" w:rsidR="00375DDC" w:rsidRPr="00C32E3B" w:rsidRDefault="00375DDC" w:rsidP="00375DDC">
            <w:pPr>
              <w:pStyle w:val="ListParagraph"/>
              <w:numPr>
                <w:ilvl w:val="0"/>
                <w:numId w:val="2"/>
              </w:numPr>
              <w:tabs>
                <w:tab w:val="left" w:pos="459"/>
              </w:tabs>
              <w:spacing w:before="60" w:after="0" w:line="240" w:lineRule="auto"/>
              <w:ind w:left="437" w:hanging="425"/>
            </w:pPr>
            <w:r>
              <w:t>Submission of a new or revised version of the assessment with a maximum of a “pass” for the assessment.</w:t>
            </w:r>
          </w:p>
        </w:tc>
      </w:tr>
      <w:tr w:rsidR="00375DDC" w:rsidRPr="00C32E3B" w14:paraId="62D0FB13" w14:textId="77777777" w:rsidTr="00280F45">
        <w:tc>
          <w:tcPr>
            <w:tcW w:w="851" w:type="dxa"/>
            <w:vMerge/>
            <w:tcBorders>
              <w:left w:val="single" w:sz="4" w:space="0" w:color="auto"/>
              <w:right w:val="single" w:sz="4" w:space="0" w:color="auto"/>
            </w:tcBorders>
            <w:shd w:val="clear" w:color="auto" w:fill="D9D9D9" w:themeFill="background1" w:themeFillShade="D9"/>
          </w:tcPr>
          <w:p w14:paraId="2DDA63B0" w14:textId="77777777" w:rsidR="00375DDC" w:rsidRPr="00C32E3B" w:rsidRDefault="00375DDC" w:rsidP="00C32E3B">
            <w:pPr>
              <w:spacing w:before="120" w:after="120"/>
            </w:pPr>
          </w:p>
        </w:tc>
        <w:tc>
          <w:tcPr>
            <w:tcW w:w="9781" w:type="dxa"/>
            <w:tcBorders>
              <w:top w:val="nil"/>
              <w:left w:val="single" w:sz="4" w:space="0" w:color="auto"/>
              <w:bottom w:val="nil"/>
            </w:tcBorders>
          </w:tcPr>
          <w:p w14:paraId="2E2F2CA8" w14:textId="77777777" w:rsidR="00375DDC" w:rsidRPr="00C32E3B" w:rsidRDefault="00375DDC" w:rsidP="00375DDC">
            <w:pPr>
              <w:pStyle w:val="ListParagraph"/>
              <w:numPr>
                <w:ilvl w:val="0"/>
                <w:numId w:val="2"/>
              </w:numPr>
              <w:tabs>
                <w:tab w:val="left" w:pos="459"/>
              </w:tabs>
              <w:spacing w:before="60" w:after="0" w:line="240" w:lineRule="auto"/>
              <w:ind w:left="437" w:hanging="425"/>
            </w:pPr>
            <w:r>
              <w:t>Zero mark for the assessment affected by the academic misconduct.</w:t>
            </w:r>
          </w:p>
        </w:tc>
      </w:tr>
      <w:tr w:rsidR="00375DDC" w:rsidRPr="00C32E3B" w14:paraId="094CECDF" w14:textId="77777777" w:rsidTr="00280F45">
        <w:tc>
          <w:tcPr>
            <w:tcW w:w="851" w:type="dxa"/>
            <w:vMerge/>
            <w:tcBorders>
              <w:left w:val="single" w:sz="4" w:space="0" w:color="auto"/>
              <w:right w:val="single" w:sz="4" w:space="0" w:color="auto"/>
            </w:tcBorders>
            <w:shd w:val="clear" w:color="auto" w:fill="D9D9D9" w:themeFill="background1" w:themeFillShade="D9"/>
          </w:tcPr>
          <w:p w14:paraId="063D0423" w14:textId="77777777" w:rsidR="00375DDC" w:rsidRPr="00C32E3B" w:rsidRDefault="00375DDC" w:rsidP="00C32E3B">
            <w:pPr>
              <w:spacing w:before="120" w:after="120"/>
            </w:pPr>
          </w:p>
        </w:tc>
        <w:tc>
          <w:tcPr>
            <w:tcW w:w="9781" w:type="dxa"/>
            <w:tcBorders>
              <w:top w:val="nil"/>
              <w:left w:val="single" w:sz="4" w:space="0" w:color="auto"/>
              <w:bottom w:val="nil"/>
            </w:tcBorders>
          </w:tcPr>
          <w:p w14:paraId="6DD46C55" w14:textId="77777777" w:rsidR="00375DDC" w:rsidRPr="00C32E3B" w:rsidRDefault="00375DDC" w:rsidP="00375DDC">
            <w:pPr>
              <w:pStyle w:val="ListParagraph"/>
              <w:numPr>
                <w:ilvl w:val="0"/>
                <w:numId w:val="2"/>
              </w:numPr>
              <w:tabs>
                <w:tab w:val="left" w:pos="459"/>
              </w:tabs>
              <w:spacing w:before="60" w:after="0" w:line="240" w:lineRule="auto"/>
              <w:ind w:left="437" w:hanging="425"/>
            </w:pPr>
            <w:r>
              <w:t>A reduction in the overall mark for the paper.</w:t>
            </w:r>
          </w:p>
        </w:tc>
      </w:tr>
      <w:tr w:rsidR="00375DDC" w:rsidRPr="00C32E3B" w14:paraId="55FE6FF5" w14:textId="77777777" w:rsidTr="00280F45">
        <w:tc>
          <w:tcPr>
            <w:tcW w:w="851" w:type="dxa"/>
            <w:vMerge/>
            <w:tcBorders>
              <w:left w:val="single" w:sz="4" w:space="0" w:color="auto"/>
              <w:right w:val="single" w:sz="4" w:space="0" w:color="auto"/>
            </w:tcBorders>
            <w:shd w:val="clear" w:color="auto" w:fill="D9D9D9" w:themeFill="background1" w:themeFillShade="D9"/>
          </w:tcPr>
          <w:p w14:paraId="6727E161" w14:textId="77777777" w:rsidR="00375DDC" w:rsidRPr="00C32E3B" w:rsidRDefault="00375DDC" w:rsidP="00C32E3B">
            <w:pPr>
              <w:spacing w:before="120" w:after="120"/>
            </w:pPr>
          </w:p>
        </w:tc>
        <w:tc>
          <w:tcPr>
            <w:tcW w:w="9781" w:type="dxa"/>
            <w:tcBorders>
              <w:top w:val="nil"/>
              <w:left w:val="single" w:sz="4" w:space="0" w:color="auto"/>
              <w:bottom w:val="nil"/>
            </w:tcBorders>
          </w:tcPr>
          <w:p w14:paraId="7FFE332E" w14:textId="77777777" w:rsidR="00375DDC" w:rsidRPr="00C32E3B" w:rsidRDefault="00375DDC" w:rsidP="00375DDC">
            <w:pPr>
              <w:pStyle w:val="ListParagraph"/>
              <w:numPr>
                <w:ilvl w:val="0"/>
                <w:numId w:val="2"/>
              </w:numPr>
              <w:tabs>
                <w:tab w:val="left" w:pos="459"/>
              </w:tabs>
              <w:spacing w:before="60" w:after="0" w:line="240" w:lineRule="auto"/>
              <w:ind w:left="437" w:hanging="425"/>
            </w:pPr>
            <w:r>
              <w:t>A fail grade for the paper in which the academic misconduct occurred, which may include withholding or withdrawing the granting of terms for the paper concerned.</w:t>
            </w:r>
          </w:p>
        </w:tc>
      </w:tr>
      <w:tr w:rsidR="00375DDC" w:rsidRPr="00C32E3B" w14:paraId="7DEF4CDD" w14:textId="77777777" w:rsidTr="00280F45">
        <w:tc>
          <w:tcPr>
            <w:tcW w:w="851" w:type="dxa"/>
            <w:vMerge/>
            <w:tcBorders>
              <w:left w:val="single" w:sz="4" w:space="0" w:color="auto"/>
              <w:right w:val="single" w:sz="4" w:space="0" w:color="auto"/>
            </w:tcBorders>
            <w:shd w:val="clear" w:color="auto" w:fill="D9D9D9" w:themeFill="background1" w:themeFillShade="D9"/>
          </w:tcPr>
          <w:p w14:paraId="1D19FAC6" w14:textId="77777777" w:rsidR="00375DDC" w:rsidRPr="00C32E3B" w:rsidRDefault="00375DDC" w:rsidP="00C32E3B">
            <w:pPr>
              <w:spacing w:before="120" w:after="120"/>
            </w:pPr>
          </w:p>
        </w:tc>
        <w:tc>
          <w:tcPr>
            <w:tcW w:w="9781" w:type="dxa"/>
            <w:tcBorders>
              <w:top w:val="nil"/>
              <w:left w:val="single" w:sz="4" w:space="0" w:color="auto"/>
              <w:bottom w:val="nil"/>
            </w:tcBorders>
          </w:tcPr>
          <w:p w14:paraId="08B63F92" w14:textId="77777777" w:rsidR="00375DDC" w:rsidRDefault="00375DDC" w:rsidP="00375DDC">
            <w:pPr>
              <w:pStyle w:val="ListParagraph"/>
              <w:numPr>
                <w:ilvl w:val="0"/>
                <w:numId w:val="2"/>
              </w:numPr>
              <w:tabs>
                <w:tab w:val="left" w:pos="459"/>
              </w:tabs>
              <w:spacing w:before="60" w:after="0" w:line="240" w:lineRule="auto"/>
              <w:ind w:left="436" w:hanging="425"/>
              <w:contextualSpacing w:val="0"/>
            </w:pPr>
            <w:r>
              <w:t>The cancellation of any pass or passes for any other part of the student’s course undertaken in the same teaching period as the paper in which academic misconduct occurred, subject to the agreement of the Pro-Vice-Chancellor of the Division in which the paper is taught.</w:t>
            </w:r>
          </w:p>
          <w:p w14:paraId="52B17C02" w14:textId="77777777" w:rsidR="00375DDC" w:rsidRPr="00C32E3B" w:rsidRDefault="00375DDC" w:rsidP="00375DDC">
            <w:pPr>
              <w:pStyle w:val="ListParagraph"/>
              <w:numPr>
                <w:ilvl w:val="0"/>
                <w:numId w:val="2"/>
              </w:numPr>
              <w:tabs>
                <w:tab w:val="left" w:pos="459"/>
              </w:tabs>
              <w:spacing w:before="60" w:after="0" w:line="240" w:lineRule="auto"/>
              <w:ind w:left="436" w:hanging="425"/>
              <w:contextualSpacing w:val="0"/>
            </w:pPr>
            <w:r>
              <w:t>A</w:t>
            </w:r>
            <w:r w:rsidRPr="00A46097">
              <w:t xml:space="preserve"> non-academic penalty, consisting of a fine of up to $500 or community work of up 40 hours</w:t>
            </w:r>
            <w:r>
              <w:t xml:space="preserve"> (</w:t>
            </w:r>
            <w:r w:rsidRPr="00A46097">
              <w:t xml:space="preserve">such a penalty will only be imposed where direct academic advantage </w:t>
            </w:r>
            <w:r>
              <w:t>could not have been derived from the</w:t>
            </w:r>
            <w:r w:rsidRPr="00A46097">
              <w:t xml:space="preserve"> misconduct</w:t>
            </w:r>
            <w:r>
              <w:t xml:space="preserve"> in question)</w:t>
            </w:r>
            <w:r w:rsidRPr="00A46097">
              <w:t>.</w:t>
            </w:r>
          </w:p>
        </w:tc>
      </w:tr>
      <w:tr w:rsidR="00375DDC" w:rsidRPr="00C32E3B" w14:paraId="2A82577A" w14:textId="77777777" w:rsidTr="00280F45">
        <w:tc>
          <w:tcPr>
            <w:tcW w:w="851" w:type="dxa"/>
            <w:vMerge/>
            <w:tcBorders>
              <w:left w:val="single" w:sz="4" w:space="0" w:color="auto"/>
              <w:bottom w:val="single" w:sz="4" w:space="0" w:color="auto"/>
              <w:right w:val="single" w:sz="4" w:space="0" w:color="auto"/>
            </w:tcBorders>
            <w:shd w:val="clear" w:color="auto" w:fill="D9D9D9" w:themeFill="background1" w:themeFillShade="D9"/>
          </w:tcPr>
          <w:p w14:paraId="6064A8F4" w14:textId="77777777" w:rsidR="00375DDC" w:rsidRPr="00C32E3B" w:rsidRDefault="00375DDC" w:rsidP="00C32E3B">
            <w:pPr>
              <w:spacing w:before="120" w:after="120"/>
            </w:pPr>
          </w:p>
        </w:tc>
        <w:tc>
          <w:tcPr>
            <w:tcW w:w="9781" w:type="dxa"/>
            <w:tcBorders>
              <w:top w:val="nil"/>
              <w:left w:val="single" w:sz="4" w:space="0" w:color="auto"/>
              <w:bottom w:val="single" w:sz="4" w:space="0" w:color="auto"/>
            </w:tcBorders>
          </w:tcPr>
          <w:p w14:paraId="10B27D6C" w14:textId="77777777" w:rsidR="00375DDC" w:rsidRPr="00C32E3B" w:rsidRDefault="00375DDC" w:rsidP="00375DDC">
            <w:pPr>
              <w:pStyle w:val="ListParagraph"/>
              <w:numPr>
                <w:ilvl w:val="0"/>
                <w:numId w:val="2"/>
              </w:numPr>
              <w:tabs>
                <w:tab w:val="left" w:pos="459"/>
              </w:tabs>
              <w:spacing w:before="60" w:after="60" w:line="240" w:lineRule="auto"/>
              <w:ind w:left="436" w:hanging="425"/>
            </w:pPr>
            <w:r>
              <w:t>Any other penalty as provided for by the Academic Statute 2011.</w:t>
            </w:r>
          </w:p>
        </w:tc>
      </w:tr>
    </w:tbl>
    <w:p w14:paraId="6562A27C" w14:textId="77777777" w:rsidR="00375DDC" w:rsidRDefault="00375DDC" w:rsidP="009C6264"/>
    <w:tbl>
      <w:tblPr>
        <w:tblStyle w:val="TableGrid"/>
        <w:tblW w:w="18665" w:type="dxa"/>
        <w:tblInd w:w="-998" w:type="dxa"/>
        <w:tblLook w:val="04A0" w:firstRow="1" w:lastRow="0" w:firstColumn="1" w:lastColumn="0" w:noHBand="0" w:noVBand="1"/>
      </w:tblPr>
      <w:tblGrid>
        <w:gridCol w:w="10632"/>
        <w:gridCol w:w="8033"/>
      </w:tblGrid>
      <w:tr w:rsidR="00375DDC" w14:paraId="338E6D38" w14:textId="77777777" w:rsidTr="00280F45">
        <w:tc>
          <w:tcPr>
            <w:tcW w:w="10632" w:type="dxa"/>
            <w:tcBorders>
              <w:bottom w:val="single" w:sz="4" w:space="0" w:color="auto"/>
            </w:tcBorders>
            <w:shd w:val="clear" w:color="auto" w:fill="D9D9D9" w:themeFill="background1" w:themeFillShade="D9"/>
          </w:tcPr>
          <w:p w14:paraId="14004D9C" w14:textId="77777777" w:rsidR="00375DDC" w:rsidRPr="00C32E3B" w:rsidRDefault="00375DDC" w:rsidP="0089596C">
            <w:pPr>
              <w:spacing w:before="60" w:after="60"/>
              <w:jc w:val="center"/>
            </w:pPr>
            <w:r w:rsidRPr="004E115C">
              <w:rPr>
                <w:b/>
              </w:rPr>
              <w:t xml:space="preserve">LEVEL </w:t>
            </w:r>
            <w:r>
              <w:rPr>
                <w:b/>
              </w:rPr>
              <w:t>THREE</w:t>
            </w:r>
            <w:r w:rsidRPr="004E115C">
              <w:rPr>
                <w:b/>
              </w:rPr>
              <w:t xml:space="preserve"> </w:t>
            </w:r>
            <w:r>
              <w:rPr>
                <w:b/>
              </w:rPr>
              <w:t>MISCONDUCT</w:t>
            </w:r>
          </w:p>
        </w:tc>
        <w:tc>
          <w:tcPr>
            <w:tcW w:w="8033" w:type="dxa"/>
            <w:tcBorders>
              <w:top w:val="nil"/>
              <w:bottom w:val="nil"/>
            </w:tcBorders>
          </w:tcPr>
          <w:p w14:paraId="6AAE15FD" w14:textId="77777777" w:rsidR="00375DDC" w:rsidRDefault="00375DDC" w:rsidP="00786261"/>
        </w:tc>
      </w:tr>
      <w:tr w:rsidR="00375DDC" w14:paraId="67229FE2" w14:textId="77777777" w:rsidTr="00280F45">
        <w:tc>
          <w:tcPr>
            <w:tcW w:w="10632" w:type="dxa"/>
            <w:tcBorders>
              <w:top w:val="single" w:sz="4" w:space="0" w:color="auto"/>
            </w:tcBorders>
          </w:tcPr>
          <w:p w14:paraId="7A00BCCE" w14:textId="77777777" w:rsidR="00375DDC" w:rsidRPr="0058552B" w:rsidRDefault="00375DDC" w:rsidP="00B13DC4">
            <w:pPr>
              <w:spacing w:before="60" w:after="60"/>
              <w:rPr>
                <w:i/>
                <w:sz w:val="22"/>
                <w:szCs w:val="22"/>
              </w:rPr>
            </w:pPr>
            <w:r w:rsidRPr="0058552B">
              <w:rPr>
                <w:i/>
                <w:sz w:val="22"/>
                <w:szCs w:val="22"/>
              </w:rPr>
              <w:t>For Level Three academic misconduct the possible outcomes are as listed above for Level Two, plus:</w:t>
            </w:r>
          </w:p>
          <w:p w14:paraId="09582546" w14:textId="77777777" w:rsidR="00375DDC" w:rsidRPr="00C32E3B" w:rsidRDefault="00375DDC" w:rsidP="00375DDC">
            <w:pPr>
              <w:pStyle w:val="ListParagraph"/>
              <w:numPr>
                <w:ilvl w:val="0"/>
                <w:numId w:val="2"/>
              </w:numPr>
              <w:tabs>
                <w:tab w:val="left" w:pos="1168"/>
              </w:tabs>
              <w:spacing w:before="60" w:after="60" w:line="240" w:lineRule="auto"/>
              <w:ind w:left="1168" w:hanging="425"/>
              <w:contextualSpacing w:val="0"/>
            </w:pPr>
            <w:r>
              <w:t>The Vice-Chancellor may direct that the student be excluded from the University permanently or for such a period as the Vice-Chancellor may determine.</w:t>
            </w:r>
          </w:p>
        </w:tc>
        <w:tc>
          <w:tcPr>
            <w:tcW w:w="8033" w:type="dxa"/>
            <w:tcBorders>
              <w:top w:val="nil"/>
              <w:bottom w:val="nil"/>
            </w:tcBorders>
          </w:tcPr>
          <w:p w14:paraId="159A9A6A" w14:textId="77777777" w:rsidR="00375DDC" w:rsidRDefault="00375DDC" w:rsidP="00786261"/>
        </w:tc>
      </w:tr>
    </w:tbl>
    <w:p w14:paraId="37B46704" w14:textId="77777777" w:rsidR="00280F45" w:rsidRPr="00AB765B" w:rsidRDefault="00280F45" w:rsidP="00280F45"/>
    <w:sectPr w:rsidR="00280F45" w:rsidRPr="00AB765B" w:rsidSect="00925674">
      <w:pgSz w:w="11906" w:h="16838"/>
      <w:pgMar w:top="1134"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3535A" w14:textId="77777777" w:rsidR="0017180D" w:rsidRDefault="0017180D">
      <w:r>
        <w:separator/>
      </w:r>
    </w:p>
  </w:endnote>
  <w:endnote w:type="continuationSeparator" w:id="0">
    <w:p w14:paraId="17D8EF0C" w14:textId="77777777" w:rsidR="0017180D" w:rsidRDefault="0017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76696" w14:textId="77777777" w:rsidR="0017180D" w:rsidRDefault="0017180D">
      <w:r>
        <w:separator/>
      </w:r>
    </w:p>
  </w:footnote>
  <w:footnote w:type="continuationSeparator" w:id="0">
    <w:p w14:paraId="58E3D188" w14:textId="77777777" w:rsidR="0017180D" w:rsidRDefault="00171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53611"/>
    <w:multiLevelType w:val="hybridMultilevel"/>
    <w:tmpl w:val="D1E614E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4B2B54"/>
    <w:multiLevelType w:val="hybridMultilevel"/>
    <w:tmpl w:val="E0362FF4"/>
    <w:lvl w:ilvl="0" w:tplc="4C48D4EC">
      <w:start w:val="1"/>
      <w:numFmt w:val="bullet"/>
      <w:lvlText w:val=""/>
      <w:lvlJc w:val="left"/>
      <w:pPr>
        <w:ind w:left="720" w:hanging="360"/>
      </w:pPr>
      <w:rPr>
        <w:rFonts w:ascii="Webdings" w:hAnsi="Web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809714763">
    <w:abstractNumId w:val="0"/>
  </w:num>
  <w:num w:numId="2" w16cid:durableId="539128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65B"/>
    <w:rsid w:val="000007C8"/>
    <w:rsid w:val="00020706"/>
    <w:rsid w:val="0005394C"/>
    <w:rsid w:val="00075C90"/>
    <w:rsid w:val="00077339"/>
    <w:rsid w:val="000815F4"/>
    <w:rsid w:val="000C39E9"/>
    <w:rsid w:val="0011489E"/>
    <w:rsid w:val="00130667"/>
    <w:rsid w:val="00140652"/>
    <w:rsid w:val="00152F83"/>
    <w:rsid w:val="00161897"/>
    <w:rsid w:val="0017180D"/>
    <w:rsid w:val="001719B2"/>
    <w:rsid w:val="001805A3"/>
    <w:rsid w:val="00180B90"/>
    <w:rsid w:val="0018585C"/>
    <w:rsid w:val="00231154"/>
    <w:rsid w:val="00254A6F"/>
    <w:rsid w:val="00271578"/>
    <w:rsid w:val="00280F45"/>
    <w:rsid w:val="00285A37"/>
    <w:rsid w:val="00286788"/>
    <w:rsid w:val="0029021C"/>
    <w:rsid w:val="00290242"/>
    <w:rsid w:val="00314392"/>
    <w:rsid w:val="00363C29"/>
    <w:rsid w:val="00370B66"/>
    <w:rsid w:val="00375DDC"/>
    <w:rsid w:val="003B1570"/>
    <w:rsid w:val="003D435F"/>
    <w:rsid w:val="003E21C0"/>
    <w:rsid w:val="004022C2"/>
    <w:rsid w:val="00403915"/>
    <w:rsid w:val="004316D1"/>
    <w:rsid w:val="004618A1"/>
    <w:rsid w:val="00467712"/>
    <w:rsid w:val="00494DC8"/>
    <w:rsid w:val="004A4232"/>
    <w:rsid w:val="004B465D"/>
    <w:rsid w:val="004D68BA"/>
    <w:rsid w:val="004D7C16"/>
    <w:rsid w:val="004E440E"/>
    <w:rsid w:val="00506610"/>
    <w:rsid w:val="00515BA7"/>
    <w:rsid w:val="0058552B"/>
    <w:rsid w:val="005A3674"/>
    <w:rsid w:val="005C2B86"/>
    <w:rsid w:val="00601CC3"/>
    <w:rsid w:val="006272D6"/>
    <w:rsid w:val="006469C6"/>
    <w:rsid w:val="006514C8"/>
    <w:rsid w:val="00653E49"/>
    <w:rsid w:val="00667C54"/>
    <w:rsid w:val="00694C82"/>
    <w:rsid w:val="006C19F0"/>
    <w:rsid w:val="006E53C9"/>
    <w:rsid w:val="006F4448"/>
    <w:rsid w:val="00706E76"/>
    <w:rsid w:val="007646A0"/>
    <w:rsid w:val="00793C3D"/>
    <w:rsid w:val="00793C46"/>
    <w:rsid w:val="00797B10"/>
    <w:rsid w:val="007B7E29"/>
    <w:rsid w:val="007E6229"/>
    <w:rsid w:val="007F53B7"/>
    <w:rsid w:val="00807A54"/>
    <w:rsid w:val="008143FC"/>
    <w:rsid w:val="0082157A"/>
    <w:rsid w:val="00841DC4"/>
    <w:rsid w:val="008907F8"/>
    <w:rsid w:val="008953CD"/>
    <w:rsid w:val="008C495A"/>
    <w:rsid w:val="00904DA2"/>
    <w:rsid w:val="00910D1B"/>
    <w:rsid w:val="00925674"/>
    <w:rsid w:val="0095019E"/>
    <w:rsid w:val="00975EF4"/>
    <w:rsid w:val="00980791"/>
    <w:rsid w:val="009C009E"/>
    <w:rsid w:val="009D3A5F"/>
    <w:rsid w:val="009E01E1"/>
    <w:rsid w:val="009F16EC"/>
    <w:rsid w:val="00A0584D"/>
    <w:rsid w:val="00A3426C"/>
    <w:rsid w:val="00A6045C"/>
    <w:rsid w:val="00A67E57"/>
    <w:rsid w:val="00A92CE0"/>
    <w:rsid w:val="00AA0B84"/>
    <w:rsid w:val="00AA29A9"/>
    <w:rsid w:val="00AB4147"/>
    <w:rsid w:val="00AB765B"/>
    <w:rsid w:val="00AC36D5"/>
    <w:rsid w:val="00AD305B"/>
    <w:rsid w:val="00AD539B"/>
    <w:rsid w:val="00B03790"/>
    <w:rsid w:val="00B07F67"/>
    <w:rsid w:val="00B43E8B"/>
    <w:rsid w:val="00B7238B"/>
    <w:rsid w:val="00B85B17"/>
    <w:rsid w:val="00BB0F5C"/>
    <w:rsid w:val="00BD606E"/>
    <w:rsid w:val="00BE00F2"/>
    <w:rsid w:val="00C1677C"/>
    <w:rsid w:val="00C2105A"/>
    <w:rsid w:val="00C23291"/>
    <w:rsid w:val="00CB7678"/>
    <w:rsid w:val="00CB78DF"/>
    <w:rsid w:val="00CD64F7"/>
    <w:rsid w:val="00CF37E6"/>
    <w:rsid w:val="00D00499"/>
    <w:rsid w:val="00D14030"/>
    <w:rsid w:val="00D87F05"/>
    <w:rsid w:val="00DD7676"/>
    <w:rsid w:val="00DF63F7"/>
    <w:rsid w:val="00E015D8"/>
    <w:rsid w:val="00E01CE6"/>
    <w:rsid w:val="00E05BD3"/>
    <w:rsid w:val="00E147C7"/>
    <w:rsid w:val="00E16DF5"/>
    <w:rsid w:val="00E3178C"/>
    <w:rsid w:val="00E32806"/>
    <w:rsid w:val="00E42B66"/>
    <w:rsid w:val="00E53489"/>
    <w:rsid w:val="00E54294"/>
    <w:rsid w:val="00E85AF6"/>
    <w:rsid w:val="00EA65C3"/>
    <w:rsid w:val="00EC1494"/>
    <w:rsid w:val="00F26E38"/>
    <w:rsid w:val="00F26E4D"/>
    <w:rsid w:val="00F3024D"/>
    <w:rsid w:val="00F437A6"/>
    <w:rsid w:val="00FC59ED"/>
    <w:rsid w:val="00FF58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D5C61"/>
  <w15:chartTrackingRefBased/>
  <w15:docId w15:val="{B25A8B14-8196-497A-A950-F3D3195C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6E38"/>
    <w:rPr>
      <w:rFonts w:ascii="Tahoma" w:hAnsi="Tahoma" w:cs="Tahoma"/>
      <w:sz w:val="16"/>
      <w:szCs w:val="16"/>
    </w:rPr>
  </w:style>
  <w:style w:type="paragraph" w:styleId="Header">
    <w:name w:val="header"/>
    <w:basedOn w:val="Normal"/>
    <w:rsid w:val="006272D6"/>
    <w:pPr>
      <w:tabs>
        <w:tab w:val="center" w:pos="4153"/>
        <w:tab w:val="right" w:pos="8306"/>
      </w:tabs>
    </w:pPr>
  </w:style>
  <w:style w:type="paragraph" w:styleId="Footer">
    <w:name w:val="footer"/>
    <w:basedOn w:val="Normal"/>
    <w:rsid w:val="006272D6"/>
    <w:pPr>
      <w:tabs>
        <w:tab w:val="center" w:pos="4153"/>
        <w:tab w:val="right" w:pos="8306"/>
      </w:tabs>
    </w:pPr>
  </w:style>
  <w:style w:type="character" w:styleId="Hyperlink">
    <w:name w:val="Hyperlink"/>
    <w:rsid w:val="0005394C"/>
    <w:rPr>
      <w:color w:val="0000FF"/>
      <w:u w:val="single"/>
    </w:rPr>
  </w:style>
  <w:style w:type="character" w:styleId="FollowedHyperlink">
    <w:name w:val="FollowedHyperlink"/>
    <w:basedOn w:val="DefaultParagraphFont"/>
    <w:rsid w:val="00A6045C"/>
    <w:rPr>
      <w:color w:val="954F72" w:themeColor="followedHyperlink"/>
      <w:u w:val="single"/>
    </w:rPr>
  </w:style>
  <w:style w:type="paragraph" w:styleId="ListParagraph">
    <w:name w:val="List Paragraph"/>
    <w:basedOn w:val="Normal"/>
    <w:uiPriority w:val="34"/>
    <w:qFormat/>
    <w:rsid w:val="00375DDC"/>
    <w:pPr>
      <w:spacing w:after="200" w:line="276" w:lineRule="auto"/>
      <w:ind w:left="720"/>
      <w:contextualSpacing/>
    </w:pPr>
    <w:rPr>
      <w:rFonts w:asciiTheme="minorHAnsi" w:eastAsiaTheme="minorHAnsi" w:hAnsiTheme="minorHAnsi" w:cstheme="minorBidi"/>
      <w:sz w:val="22"/>
      <w:szCs w:val="22"/>
      <w:lang w:val="en-NZ" w:eastAsia="en-US"/>
    </w:rPr>
  </w:style>
  <w:style w:type="table" w:styleId="TableGrid">
    <w:name w:val="Table Grid"/>
    <w:basedOn w:val="TableNormal"/>
    <w:uiPriority w:val="59"/>
    <w:rsid w:val="00375D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E01E1"/>
    <w:rPr>
      <w:sz w:val="16"/>
      <w:szCs w:val="16"/>
    </w:rPr>
  </w:style>
  <w:style w:type="paragraph" w:styleId="CommentText">
    <w:name w:val="annotation text"/>
    <w:basedOn w:val="Normal"/>
    <w:link w:val="CommentTextChar"/>
    <w:rsid w:val="009E01E1"/>
    <w:rPr>
      <w:sz w:val="20"/>
      <w:szCs w:val="20"/>
    </w:rPr>
  </w:style>
  <w:style w:type="character" w:customStyle="1" w:styleId="CommentTextChar">
    <w:name w:val="Comment Text Char"/>
    <w:basedOn w:val="DefaultParagraphFont"/>
    <w:link w:val="CommentText"/>
    <w:rsid w:val="009E01E1"/>
    <w:rPr>
      <w:lang w:val="en-GB" w:eastAsia="en-GB"/>
    </w:rPr>
  </w:style>
  <w:style w:type="paragraph" w:styleId="CommentSubject">
    <w:name w:val="annotation subject"/>
    <w:basedOn w:val="CommentText"/>
    <w:next w:val="CommentText"/>
    <w:link w:val="CommentSubjectChar"/>
    <w:semiHidden/>
    <w:unhideWhenUsed/>
    <w:rsid w:val="009E01E1"/>
    <w:rPr>
      <w:b/>
      <w:bCs/>
    </w:rPr>
  </w:style>
  <w:style w:type="character" w:customStyle="1" w:styleId="CommentSubjectChar">
    <w:name w:val="Comment Subject Char"/>
    <w:basedOn w:val="CommentTextChar"/>
    <w:link w:val="CommentSubject"/>
    <w:semiHidden/>
    <w:rsid w:val="009E01E1"/>
    <w:rPr>
      <w:b/>
      <w:bCs/>
      <w:lang w:val="en-GB" w:eastAsia="en-GB"/>
    </w:rPr>
  </w:style>
  <w:style w:type="character" w:styleId="UnresolvedMention">
    <w:name w:val="Unresolved Mention"/>
    <w:basedOn w:val="DefaultParagraphFont"/>
    <w:uiPriority w:val="99"/>
    <w:semiHidden/>
    <w:unhideWhenUsed/>
    <w:rsid w:val="00403915"/>
    <w:rPr>
      <w:color w:val="605E5C"/>
      <w:shd w:val="clear" w:color="auto" w:fill="E1DFDD"/>
    </w:rPr>
  </w:style>
  <w:style w:type="character" w:styleId="PlaceholderText">
    <w:name w:val="Placeholder Text"/>
    <w:basedOn w:val="DefaultParagraphFont"/>
    <w:uiPriority w:val="99"/>
    <w:semiHidden/>
    <w:rsid w:val="00BE00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tago.ac.nz/administration/policies/otago116838.html" TargetMode="External"/><Relationship Id="rId13" Type="http://schemas.openxmlformats.org/officeDocument/2006/relationships/hyperlink" Target="https://www.otago.ac.nz/locals/index.html" TargetMode="External"/><Relationship Id="rId18" Type="http://schemas.openxmlformats.org/officeDocument/2006/relationships/hyperlink" Target="https://www.otago.ac.nz/international/index.html" TargetMode="External"/><Relationship Id="rId3" Type="http://schemas.openxmlformats.org/officeDocument/2006/relationships/settings" Target="settings.xml"/><Relationship Id="rId21" Type="http://schemas.openxmlformats.org/officeDocument/2006/relationships/hyperlink" Target="https://www.otago.ac.nz/te-whare-tawharau/index.html" TargetMode="External"/><Relationship Id="rId7" Type="http://schemas.openxmlformats.org/officeDocument/2006/relationships/image" Target="media/image1.jpeg"/><Relationship Id="rId12" Type="http://schemas.openxmlformats.org/officeDocument/2006/relationships/hyperlink" Target="mailto:help@ousa.org.nz" TargetMode="External"/><Relationship Id="rId17" Type="http://schemas.openxmlformats.org/officeDocument/2006/relationships/hyperlink" Target="https://www.ousa.org.nz/queer-support" TargetMode="External"/><Relationship Id="rId2" Type="http://schemas.openxmlformats.org/officeDocument/2006/relationships/styles" Target="styles.xml"/><Relationship Id="rId16" Type="http://schemas.openxmlformats.org/officeDocument/2006/relationships/hyperlink" Target="https://www.otago.ac.nz/pacific/index.html" TargetMode="External"/><Relationship Id="rId20" Type="http://schemas.openxmlformats.org/officeDocument/2006/relationships/hyperlink" Target="https://www.otago.ac.nz/disabilities/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usa.org.nz/suppor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otago.ac.nz/maoricentre/index.html" TargetMode="External"/><Relationship Id="rId23" Type="http://schemas.openxmlformats.org/officeDocument/2006/relationships/fontTable" Target="fontTable.xml"/><Relationship Id="rId10" Type="http://schemas.openxmlformats.org/officeDocument/2006/relationships/hyperlink" Target="mailto:head.studentexp@otago.ac.nz" TargetMode="External"/><Relationship Id="rId19" Type="http://schemas.openxmlformats.org/officeDocument/2006/relationships/hyperlink" Target="https://www.otago.ac.nz/studenthealth/index.html" TargetMode="External"/><Relationship Id="rId4" Type="http://schemas.openxmlformats.org/officeDocument/2006/relationships/webSettings" Target="webSettings.xml"/><Relationship Id="rId9" Type="http://schemas.openxmlformats.org/officeDocument/2006/relationships/hyperlink" Target="https://www.otago.ac.nz/administration/policies/otago116850.html" TargetMode="External"/><Relationship Id="rId14" Type="http://schemas.openxmlformats.org/officeDocument/2006/relationships/hyperlink" Target="https://www.facebook.com/OtagoLocals" TargetMode="External"/><Relationship Id="rId22" Type="http://schemas.openxmlformats.org/officeDocument/2006/relationships/hyperlink" Target="https://www.otago.ac.nz/chaplai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[DATE]</vt:lpstr>
    </vt:vector>
  </TitlesOfParts>
  <Company>University of Otago</Company>
  <LinksUpToDate>false</LinksUpToDate>
  <CharactersWithSpaces>8718</CharactersWithSpaces>
  <SharedDoc>false</SharedDoc>
  <HLinks>
    <vt:vector size="12" baseType="variant">
      <vt:variant>
        <vt:i4>6881399</vt:i4>
      </vt:variant>
      <vt:variant>
        <vt:i4>3</vt:i4>
      </vt:variant>
      <vt:variant>
        <vt:i4>0</vt:i4>
      </vt:variant>
      <vt:variant>
        <vt:i4>5</vt:i4>
      </vt:variant>
      <vt:variant>
        <vt:lpwstr>http://www.otago.ac.nz/administration/policies/otago116850.html</vt:lpwstr>
      </vt:variant>
      <vt:variant>
        <vt:lpwstr/>
      </vt:variant>
      <vt:variant>
        <vt:i4>6357105</vt:i4>
      </vt:variant>
      <vt:variant>
        <vt:i4>0</vt:i4>
      </vt:variant>
      <vt:variant>
        <vt:i4>0</vt:i4>
      </vt:variant>
      <vt:variant>
        <vt:i4>5</vt:i4>
      </vt:variant>
      <vt:variant>
        <vt:lpwstr>http://www.otago.ac.nz/administration/policies/otago116838.html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finka45p</dc:creator>
  <cp:keywords/>
  <cp:lastModifiedBy>Ana Hoseit</cp:lastModifiedBy>
  <cp:revision>2</cp:revision>
  <cp:lastPrinted>2018-02-19T01:51:00Z</cp:lastPrinted>
  <dcterms:created xsi:type="dcterms:W3CDTF">2022-05-26T00:38:00Z</dcterms:created>
  <dcterms:modified xsi:type="dcterms:W3CDTF">2022-05-26T00:38:00Z</dcterms:modified>
</cp:coreProperties>
</file>